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566F1CE6"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6A6B1A">
        <w:rPr>
          <w:b/>
          <w:noProof/>
          <w:sz w:val="24"/>
          <w:szCs w:val="24"/>
          <w:lang w:val="en-US"/>
        </w:rPr>
        <w:t>2</w:t>
      </w:r>
      <w:r w:rsidR="004A5907">
        <w:rPr>
          <w:b/>
          <w:noProof/>
          <w:sz w:val="24"/>
          <w:szCs w:val="24"/>
          <w:lang w:val="en-US"/>
        </w:rPr>
        <w:t xml:space="preserve"> Meeting #128</w:t>
      </w:r>
      <w:r w:rsidRPr="00264B7E">
        <w:rPr>
          <w:b/>
          <w:i/>
          <w:noProof/>
          <w:sz w:val="24"/>
          <w:szCs w:val="24"/>
          <w:lang w:val="en-US"/>
        </w:rPr>
        <w:tab/>
      </w:r>
      <w:r w:rsidR="006A5FC1">
        <w:rPr>
          <w:b/>
          <w:noProof/>
          <w:sz w:val="24"/>
          <w:szCs w:val="24"/>
          <w:lang w:val="en-US"/>
        </w:rPr>
        <w:t>R2</w:t>
      </w:r>
      <w:r w:rsidR="00702913" w:rsidRPr="00264B7E">
        <w:rPr>
          <w:b/>
          <w:noProof/>
          <w:sz w:val="24"/>
          <w:szCs w:val="24"/>
          <w:lang w:val="en-US"/>
        </w:rPr>
        <w:t>-</w:t>
      </w:r>
      <w:r w:rsidR="00CC38E8" w:rsidRPr="00CC38E8">
        <w:rPr>
          <w:b/>
          <w:noProof/>
          <w:sz w:val="24"/>
          <w:szCs w:val="24"/>
          <w:lang w:val="en-US"/>
        </w:rPr>
        <w:t>2410870</w:t>
      </w:r>
    </w:p>
    <w:p w14:paraId="1CD5986C" w14:textId="4780059C" w:rsidR="00CF1EAE" w:rsidRPr="00A02C98" w:rsidRDefault="004A5907" w:rsidP="00CF1EAE">
      <w:pPr>
        <w:pStyle w:val="3GPPHeader"/>
        <w:rPr>
          <w:noProof/>
          <w:szCs w:val="24"/>
          <w:lang w:val="it-IT" w:eastAsia="ko-KR"/>
        </w:rPr>
      </w:pPr>
      <w:r w:rsidRPr="00A02C98">
        <w:rPr>
          <w:noProof/>
          <w:szCs w:val="24"/>
          <w:lang w:val="it-IT" w:eastAsia="ko-KR"/>
        </w:rPr>
        <w:t>Orlando</w:t>
      </w:r>
      <w:r w:rsidR="006A5FC1" w:rsidRPr="00A02C98">
        <w:rPr>
          <w:noProof/>
          <w:szCs w:val="24"/>
          <w:lang w:val="it-IT" w:eastAsia="ko-KR"/>
        </w:rPr>
        <w:t xml:space="preserve">, </w:t>
      </w:r>
      <w:r w:rsidRPr="00A02C98">
        <w:rPr>
          <w:noProof/>
          <w:szCs w:val="24"/>
          <w:lang w:val="it-IT" w:eastAsia="ko-KR"/>
        </w:rPr>
        <w:t>USA</w:t>
      </w:r>
      <w:r w:rsidR="00702913" w:rsidRPr="00A02C98">
        <w:rPr>
          <w:noProof/>
          <w:szCs w:val="24"/>
          <w:lang w:val="it-IT" w:eastAsia="ko-KR"/>
        </w:rPr>
        <w:t xml:space="preserve">, </w:t>
      </w:r>
      <w:r w:rsidRPr="00A02C98">
        <w:rPr>
          <w:noProof/>
          <w:szCs w:val="24"/>
          <w:lang w:val="it-IT" w:eastAsia="ko-KR"/>
        </w:rPr>
        <w:t>November 18-22</w:t>
      </w:r>
      <w:r w:rsidR="00B55E00" w:rsidRPr="00A02C98">
        <w:rPr>
          <w:noProof/>
          <w:szCs w:val="24"/>
          <w:lang w:val="it-IT" w:eastAsia="ko-KR"/>
        </w:rPr>
        <w:t>, 2024</w:t>
      </w:r>
    </w:p>
    <w:p w14:paraId="252563D4" w14:textId="23C2BAEA" w:rsidR="00E90E49" w:rsidRPr="000D5103" w:rsidRDefault="00E90E49" w:rsidP="000D5103">
      <w:pPr>
        <w:pStyle w:val="Heading1"/>
        <w:rPr>
          <w:lang w:val="en-US"/>
        </w:rPr>
      </w:pPr>
    </w:p>
    <w:p w14:paraId="267378A2" w14:textId="2588C05F" w:rsidR="00E90E49" w:rsidRPr="00A02C98" w:rsidRDefault="00E90E49" w:rsidP="00311702">
      <w:pPr>
        <w:pStyle w:val="3GPPHeader"/>
        <w:rPr>
          <w:sz w:val="22"/>
          <w:szCs w:val="22"/>
          <w:lang w:val="it-IT"/>
        </w:rPr>
      </w:pPr>
      <w:r w:rsidRPr="00A02C98">
        <w:rPr>
          <w:sz w:val="22"/>
          <w:szCs w:val="22"/>
          <w:lang w:val="it-IT"/>
        </w:rPr>
        <w:t>Agenda Item:</w:t>
      </w:r>
      <w:r w:rsidRPr="00A02C98">
        <w:rPr>
          <w:sz w:val="22"/>
          <w:szCs w:val="22"/>
          <w:lang w:val="it-IT"/>
        </w:rPr>
        <w:tab/>
      </w:r>
      <w:r w:rsidR="00945F26">
        <w:rPr>
          <w:sz w:val="22"/>
          <w:szCs w:val="22"/>
          <w:lang w:val="it-IT"/>
        </w:rPr>
        <w:t>8.8.2</w:t>
      </w:r>
    </w:p>
    <w:p w14:paraId="36E7B6AB" w14:textId="45856106"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bookmarkStart w:id="1" w:name="_GoBack"/>
      <w:bookmarkEnd w:id="1"/>
    </w:p>
    <w:p w14:paraId="72579376" w14:textId="07C55BCC" w:rsidR="00E90E49" w:rsidRPr="00264B7E" w:rsidRDefault="003D3C45" w:rsidP="006F2034">
      <w:pPr>
        <w:pStyle w:val="3GPPHeader"/>
        <w:rPr>
          <w:sz w:val="22"/>
          <w:szCs w:val="22"/>
        </w:rPr>
      </w:pPr>
      <w:r w:rsidRPr="00264B7E">
        <w:rPr>
          <w:sz w:val="22"/>
          <w:szCs w:val="22"/>
        </w:rPr>
        <w:t>Title:</w:t>
      </w:r>
      <w:r w:rsidR="00E90E49" w:rsidRPr="00264B7E">
        <w:rPr>
          <w:sz w:val="22"/>
          <w:szCs w:val="22"/>
        </w:rPr>
        <w:tab/>
      </w:r>
      <w:r w:rsidR="006F2034">
        <w:rPr>
          <w:sz w:val="22"/>
          <w:szCs w:val="22"/>
        </w:rPr>
        <w:t>Discussion on RAN</w:t>
      </w:r>
      <w:r w:rsidR="00D12E35">
        <w:rPr>
          <w:sz w:val="22"/>
          <w:szCs w:val="22"/>
        </w:rPr>
        <w:t>2 Aspects for system-level Downlink Coverage enhancements</w:t>
      </w:r>
    </w:p>
    <w:p w14:paraId="24C111CD" w14:textId="4E91E707"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B55E00" w:rsidRPr="00264B7E">
        <w:rPr>
          <w:sz w:val="22"/>
          <w:szCs w:val="22"/>
        </w:rPr>
        <w:t>Discussion</w:t>
      </w:r>
      <w:r w:rsidR="00945F26">
        <w:rPr>
          <w:sz w:val="22"/>
          <w:szCs w:val="22"/>
        </w:rPr>
        <w:t xml:space="preserve"> and Decision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7257280F" w14:textId="77777777" w:rsidR="006F2034" w:rsidRDefault="006F2034" w:rsidP="006F2034">
      <w:pPr>
        <w:pStyle w:val="BodyText"/>
      </w:pPr>
      <w:bookmarkStart w:id="2" w:name="_Ref178064866"/>
      <w:r>
        <w:t>The approved work item justifications and objectives for NR NTN Evolution in Rel-19 [1] emphasizes the need to accommodate satellite payload constraints which may limit the ability to have all its beams to be active at the nominal EIRP density and provide objectives for this Release :</w:t>
      </w:r>
    </w:p>
    <w:tbl>
      <w:tblPr>
        <w:tblStyle w:val="TableGrid"/>
        <w:tblW w:w="0" w:type="auto"/>
        <w:tblLook w:val="04A0" w:firstRow="1" w:lastRow="0" w:firstColumn="1" w:lastColumn="0" w:noHBand="0" w:noVBand="1"/>
      </w:tblPr>
      <w:tblGrid>
        <w:gridCol w:w="9629"/>
      </w:tblGrid>
      <w:tr w:rsidR="006F2034" w14:paraId="0495E8FA" w14:textId="77777777" w:rsidTr="005268B4">
        <w:tc>
          <w:tcPr>
            <w:tcW w:w="9629" w:type="dxa"/>
          </w:tcPr>
          <w:p w14:paraId="14A8C542" w14:textId="77777777" w:rsidR="006F2034" w:rsidRPr="00976D9B" w:rsidRDefault="006F2034" w:rsidP="005268B4">
            <w:pPr>
              <w:numPr>
                <w:ilvl w:val="0"/>
                <w:numId w:val="32"/>
              </w:numPr>
              <w:spacing w:after="0"/>
              <w:jc w:val="left"/>
              <w:rPr>
                <w:rFonts w:eastAsia="Times New Roman"/>
                <w:sz w:val="20"/>
                <w:szCs w:val="20"/>
                <w:lang w:val="en-GB" w:eastAsia="zh-CN"/>
              </w:rPr>
            </w:pPr>
            <w:r w:rsidRPr="00976D9B">
              <w:rPr>
                <w:rFonts w:eastAsia="Times New Roman"/>
                <w:sz w:val="20"/>
                <w:szCs w:val="20"/>
                <w:lang w:val="en-GB" w:eastAsia="zh-CN"/>
              </w:rPr>
              <w:t>Offer optimized performance especially when addressing handset terminals (including smartphones with -5.5 dBi antenna gain) w.r.t. downlink coverage considering the NTN deployment constraints such as payload power limitation, large satellite foot print and limited feeder link bandwidth. DL coverage enhancements are needed to accommodate satellite payload constraints which may be unable to have all its beams active with the « nominal » EIRP density per beam (see Section 6.1.1 in TR 38.821) at a given time due to limited power and limited feeder link bandwidth, while 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29A4278E" w14:textId="77777777" w:rsidR="006F2034" w:rsidRPr="00976D9B" w:rsidRDefault="006F2034" w:rsidP="005268B4">
            <w:pPr>
              <w:spacing w:after="0"/>
              <w:rPr>
                <w:rFonts w:eastAsia="Times New Roman"/>
                <w:sz w:val="20"/>
                <w:szCs w:val="20"/>
                <w:lang w:val="en-GB" w:eastAsia="zh-CN"/>
              </w:rPr>
            </w:pPr>
          </w:p>
          <w:p w14:paraId="198E3D5E" w14:textId="77777777" w:rsidR="006F2034" w:rsidRPr="00976D9B" w:rsidRDefault="006F2034" w:rsidP="005268B4">
            <w:pPr>
              <w:ind w:firstLine="360"/>
              <w:rPr>
                <w:rFonts w:eastAsia="Times New Roman"/>
                <w:sz w:val="20"/>
                <w:szCs w:val="20"/>
                <w:lang w:val="en-GB" w:eastAsia="zh-CN"/>
              </w:rPr>
            </w:pPr>
            <w:r w:rsidRPr="00976D9B">
              <w:rPr>
                <w:rFonts w:eastAsia="Times New Roman"/>
                <w:sz w:val="20"/>
                <w:szCs w:val="20"/>
                <w:lang w:val="en-GB" w:eastAsia="zh-CN"/>
              </w:rPr>
              <w:t>DL coverage enhancements can be considered at both</w:t>
            </w:r>
          </w:p>
          <w:p w14:paraId="00D4FD45" w14:textId="77777777" w:rsidR="006F2034" w:rsidRPr="00976D9B" w:rsidRDefault="006F2034" w:rsidP="005268B4">
            <w:pPr>
              <w:numPr>
                <w:ilvl w:val="0"/>
                <w:numId w:val="31"/>
              </w:numPr>
              <w:spacing w:after="0"/>
              <w:jc w:val="left"/>
              <w:rPr>
                <w:rFonts w:eastAsia="Times New Roman"/>
                <w:sz w:val="20"/>
                <w:szCs w:val="20"/>
                <w:lang w:val="en-GB" w:eastAsia="zh-CN"/>
              </w:rPr>
            </w:pPr>
            <w:r w:rsidRPr="00976D9B">
              <w:rPr>
                <w:rFonts w:eastAsia="Times New Roman"/>
                <w:sz w:val="20"/>
                <w:szCs w:val="20"/>
                <w:lang w:val="en-GB" w:eastAsia="zh-CN"/>
              </w:rPr>
              <w:t>Link level to improve the link margin of selected physical channels in order to accommodate the EIRP reduction in FR1-NTN. A link margin improvement for physical channels (e.g. PDSCH and PDCCH) may be considered without impact on SSB design.</w:t>
            </w:r>
            <w:r w:rsidRPr="00976D9B" w:rsidDel="00BC6EE0">
              <w:rPr>
                <w:rFonts w:eastAsia="Times New Roman"/>
                <w:sz w:val="20"/>
                <w:szCs w:val="20"/>
                <w:lang w:val="en-GB" w:eastAsia="zh-CN"/>
              </w:rPr>
              <w:t xml:space="preserve"> </w:t>
            </w:r>
          </w:p>
          <w:p w14:paraId="0604E370" w14:textId="77777777" w:rsidR="006F2034" w:rsidRPr="00976D9B" w:rsidRDefault="006F2034" w:rsidP="005268B4">
            <w:pPr>
              <w:numPr>
                <w:ilvl w:val="0"/>
                <w:numId w:val="31"/>
              </w:numPr>
              <w:spacing w:after="0"/>
              <w:jc w:val="left"/>
              <w:rPr>
                <w:rFonts w:eastAsia="Times New Roman"/>
                <w:sz w:val="20"/>
                <w:szCs w:val="20"/>
                <w:lang w:val="en-GB" w:eastAsia="zh-CN"/>
              </w:rPr>
            </w:pPr>
            <w:r w:rsidRPr="00976D9B">
              <w:rPr>
                <w:rFonts w:eastAsia="Times New Roman"/>
                <w:sz w:val="20"/>
                <w:szCs w:val="20"/>
                <w:highlight w:val="yellow"/>
                <w:lang w:val="en-GB" w:eastAsia="zh-CN"/>
              </w:rPr>
              <w:t>System level to support an efficient dynamic and flexible power sharing between beams or different beam pattern/size</w:t>
            </w:r>
            <w:r w:rsidRPr="00976D9B">
              <w:rPr>
                <w:rFonts w:eastAsia="Times New Roman"/>
                <w:sz w:val="20"/>
                <w:szCs w:val="20"/>
                <w:lang w:val="en-GB" w:eastAsia="zh-CN"/>
              </w:rPr>
              <w:t xml:space="preserve"> (i.e., wide or narrow) across the satellite foot print for FR1-NTN and FR2-NTN.</w:t>
            </w:r>
          </w:p>
        </w:tc>
      </w:tr>
    </w:tbl>
    <w:p w14:paraId="06178105" w14:textId="77777777" w:rsidR="006F2034" w:rsidRDefault="006F2034" w:rsidP="006F2034">
      <w:pPr>
        <w:pStyle w:val="BodyText"/>
      </w:pPr>
    </w:p>
    <w:tbl>
      <w:tblPr>
        <w:tblStyle w:val="TableGrid"/>
        <w:tblW w:w="0" w:type="auto"/>
        <w:tblLook w:val="04A0" w:firstRow="1" w:lastRow="0" w:firstColumn="1" w:lastColumn="0" w:noHBand="0" w:noVBand="1"/>
      </w:tblPr>
      <w:tblGrid>
        <w:gridCol w:w="9629"/>
      </w:tblGrid>
      <w:tr w:rsidR="006F2034" w14:paraId="1C066CE7" w14:textId="77777777" w:rsidTr="005268B4">
        <w:tc>
          <w:tcPr>
            <w:tcW w:w="9629" w:type="dxa"/>
          </w:tcPr>
          <w:p w14:paraId="4EBD47E0" w14:textId="77777777" w:rsidR="006F2034" w:rsidRPr="008C279E" w:rsidRDefault="006F2034" w:rsidP="005268B4">
            <w:pPr>
              <w:numPr>
                <w:ilvl w:val="0"/>
                <w:numId w:val="33"/>
              </w:numPr>
              <w:spacing w:after="0" w:line="276" w:lineRule="auto"/>
              <w:jc w:val="left"/>
              <w:rPr>
                <w:rFonts w:eastAsia="Times New Roman"/>
                <w:sz w:val="20"/>
                <w:szCs w:val="20"/>
                <w:lang w:val="en-GB" w:eastAsia="zh-CN"/>
              </w:rPr>
            </w:pPr>
            <w:r w:rsidRPr="008C279E">
              <w:rPr>
                <w:rFonts w:eastAsia="Times New Roman"/>
                <w:sz w:val="20"/>
                <w:szCs w:val="20"/>
                <w:lang w:val="en-GB" w:eastAsia="zh-CN"/>
              </w:rPr>
              <w:t>Study and specify</w:t>
            </w:r>
            <w:bookmarkStart w:id="3" w:name="_Hlk153196886"/>
            <w:r w:rsidRPr="008C279E">
              <w:rPr>
                <w:rFonts w:eastAsia="Times New Roman"/>
                <w:sz w:val="20"/>
                <w:szCs w:val="20"/>
                <w:lang w:val="en-GB" w:eastAsia="zh-CN"/>
              </w:rPr>
              <w:t xml:space="preserve"> if beneficial</w:t>
            </w:r>
            <w:bookmarkEnd w:id="3"/>
            <w:r w:rsidRPr="008C279E">
              <w:rPr>
                <w:rFonts w:eastAsia="Times New Roman"/>
                <w:sz w:val="20"/>
                <w:szCs w:val="20"/>
                <w:lang w:val="en-GB" w:eastAsia="zh-CN"/>
              </w:rPr>
              <w:t xml:space="preserve"> downlink coverage enhancements targeting support for additional reference satellite payload parameters covering both GSO and NGSO constellations operating in FR1-NTN or FR2-NTN [RAN1, RAN2, RAN4]</w:t>
            </w:r>
          </w:p>
          <w:p w14:paraId="4E7B4771" w14:textId="77777777" w:rsidR="006F2034" w:rsidRPr="008C279E" w:rsidRDefault="006F2034" w:rsidP="005268B4">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A70A1E6" w14:textId="77777777" w:rsidR="006F2034" w:rsidRPr="00206D87" w:rsidRDefault="006F2034" w:rsidP="005268B4">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206D87">
              <w:rPr>
                <w:rFonts w:ascii="Arial" w:eastAsia="Times New Roman" w:hAnsi="Arial"/>
                <w:sz w:val="20"/>
                <w:szCs w:val="20"/>
                <w:lang w:val="en-GB"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DFFEB50" w14:textId="77777777" w:rsidR="006F2034" w:rsidRPr="008C279E" w:rsidRDefault="006F2034" w:rsidP="005268B4">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highlight w:val="yellow"/>
                <w:lang w:val="en-GB" w:eastAsia="zh-CN"/>
              </w:rPr>
              <w:t xml:space="preserve">Study and if needed specify solutions, including link level enhancements for FR1-NTN (e.g. for PDCCH, PDSCH) and/or system level enhancements for FR1-NTN and/or FR2-NTN, allowing </w:t>
            </w:r>
            <w:r w:rsidRPr="008C279E">
              <w:rPr>
                <w:rFonts w:ascii="Arial" w:eastAsia="Times New Roman" w:hAnsi="Arial"/>
                <w:sz w:val="20"/>
                <w:szCs w:val="20"/>
                <w:highlight w:val="yellow"/>
                <w:lang w:val="en-GB" w:eastAsia="zh-CN"/>
              </w:rPr>
              <w:lastRenderedPageBreak/>
              <w:t>dynamic and flexible power sharing between satellite beams or different satellite beam patterns/size (i.e. wide or narrow) across the satellite footprint</w:t>
            </w:r>
            <w:r w:rsidRPr="008C279E">
              <w:rPr>
                <w:rFonts w:ascii="Arial" w:eastAsia="Times New Roman" w:hAnsi="Arial"/>
                <w:sz w:val="20"/>
                <w:szCs w:val="20"/>
                <w:lang w:val="en-GB" w:eastAsia="zh-CN"/>
              </w:rPr>
              <w:t>.</w:t>
            </w:r>
          </w:p>
          <w:p w14:paraId="5DF35871" w14:textId="77777777" w:rsidR="006F2034" w:rsidRPr="008C279E" w:rsidRDefault="006F2034" w:rsidP="005268B4">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Notes for this objective:</w:t>
            </w:r>
          </w:p>
          <w:p w14:paraId="5B94D4F8" w14:textId="77777777" w:rsidR="006F2034" w:rsidRPr="008C279E" w:rsidRDefault="006F2034" w:rsidP="005268B4">
            <w:pPr>
              <w:pStyle w:val="ListParagraph"/>
              <w:widowControl w:val="0"/>
              <w:numPr>
                <w:ilvl w:val="1"/>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SSB channel enhancement is not considered</w:t>
            </w:r>
          </w:p>
          <w:p w14:paraId="77BB19D6" w14:textId="77777777" w:rsidR="006F2034" w:rsidRPr="008C279E" w:rsidRDefault="006F2034" w:rsidP="005268B4">
            <w:pPr>
              <w:pStyle w:val="ListParagraph"/>
              <w:widowControl w:val="0"/>
              <w:numPr>
                <w:ilvl w:val="1"/>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Antenna gain of UE shall be assumed to be -5.5dBi in case of smartphone in FR1-NTN, the UE is assumed to be a full duplex UE, and at least 2Rx are considered at the UE</w:t>
            </w:r>
          </w:p>
          <w:p w14:paraId="5FDB2E96" w14:textId="77777777" w:rsidR="006F2034" w:rsidRPr="008C279E" w:rsidRDefault="006F2034" w:rsidP="005268B4">
            <w:pPr>
              <w:pStyle w:val="ListParagraph"/>
              <w:widowControl w:val="0"/>
              <w:numPr>
                <w:ilvl w:val="1"/>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lang w:val="en-GB" w:eastAsia="zh-CN"/>
              </w:rPr>
              <w:t>NGSO to be considered in priority: LEO Set-1 @ 600 km</w:t>
            </w:r>
          </w:p>
          <w:p w14:paraId="76971677" w14:textId="77777777" w:rsidR="006F2034" w:rsidRPr="008C279E" w:rsidRDefault="006F2034" w:rsidP="005268B4">
            <w:pPr>
              <w:pStyle w:val="ListParagraph"/>
              <w:widowControl w:val="0"/>
              <w:numPr>
                <w:ilvl w:val="1"/>
                <w:numId w:val="34"/>
              </w:numPr>
              <w:overflowPunct/>
              <w:autoSpaceDE/>
              <w:autoSpaceDN/>
              <w:adjustRightInd/>
              <w:spacing w:line="276" w:lineRule="auto"/>
              <w:contextualSpacing/>
              <w:textAlignment w:val="auto"/>
              <w:rPr>
                <w:rFonts w:ascii="Arial" w:eastAsia="Times New Roman" w:hAnsi="Arial"/>
                <w:sz w:val="20"/>
                <w:szCs w:val="20"/>
                <w:lang w:val="en-GB" w:eastAsia="zh-CN"/>
              </w:rPr>
            </w:pPr>
            <w:r w:rsidRPr="008C279E">
              <w:rPr>
                <w:rFonts w:ascii="Arial" w:eastAsia="Times New Roman" w:hAnsi="Arial"/>
                <w:sz w:val="20"/>
                <w:szCs w:val="20"/>
                <w:highlight w:val="yellow"/>
                <w:lang w:val="en-GB" w:eastAsia="zh-CN"/>
              </w:rPr>
              <w:t>Rel-18 network energy saving techniques should be considered as baseline in the system level study</w:t>
            </w:r>
          </w:p>
          <w:p w14:paraId="1D45DB9A" w14:textId="77777777" w:rsidR="006F2034" w:rsidRPr="008C279E" w:rsidRDefault="006F2034" w:rsidP="005268B4">
            <w:pPr>
              <w:pStyle w:val="BodyText"/>
              <w:rPr>
                <w:rFonts w:eastAsia="Times New Roman"/>
                <w:sz w:val="20"/>
                <w:szCs w:val="20"/>
                <w:lang w:val="en-GB"/>
              </w:rPr>
            </w:pPr>
          </w:p>
        </w:tc>
      </w:tr>
    </w:tbl>
    <w:p w14:paraId="3D8C981C" w14:textId="77777777" w:rsidR="006F2034" w:rsidRDefault="006F2034" w:rsidP="006F2034">
      <w:pPr>
        <w:pStyle w:val="BodyText"/>
      </w:pPr>
    </w:p>
    <w:p w14:paraId="55B43ADE" w14:textId="77777777" w:rsidR="006F2034" w:rsidRDefault="006F2034" w:rsidP="006F2034">
      <w:pPr>
        <w:pStyle w:val="BodyText"/>
      </w:pPr>
      <w:r>
        <w:t>As highlighted above, the RAN2 needs to provide solutions for DL coverage enhancements challenge:</w:t>
      </w:r>
    </w:p>
    <w:p w14:paraId="7E434889" w14:textId="77777777" w:rsidR="006F2034" w:rsidRDefault="006F2034" w:rsidP="006F2034">
      <w:pPr>
        <w:pStyle w:val="BodyText"/>
        <w:numPr>
          <w:ilvl w:val="2"/>
          <w:numId w:val="33"/>
        </w:numPr>
      </w:pPr>
      <w:r>
        <w:t>Study and specify solutions including link level and or system level enhancements allowing dynamic and flexible power sharing between satellite beams or different satellite beam pattern/size across the satellite footprint. The LEO is considered in priority and the Rel-18 network energy saving techniques should be considered as baseline for the study.</w:t>
      </w:r>
    </w:p>
    <w:p w14:paraId="77EFAEFE" w14:textId="5450F352" w:rsidR="006F2034" w:rsidRDefault="006F2034" w:rsidP="006F2034">
      <w:pPr>
        <w:pStyle w:val="BodyText"/>
      </w:pPr>
      <w:r>
        <w:t xml:space="preserve">In this contribution, we discuss </w:t>
      </w:r>
      <w:r w:rsidR="00D12E35">
        <w:t>t</w:t>
      </w:r>
      <w:r w:rsidR="00D12E35" w:rsidRPr="00D12E35">
        <w:t>he potential enhancements at the system level</w:t>
      </w:r>
      <w:r w:rsidR="00D12E35">
        <w:t xml:space="preserve"> </w:t>
      </w:r>
      <w:r>
        <w:t>aspects for the Downlink coverage enhancements for NTN:</w:t>
      </w:r>
    </w:p>
    <w:p w14:paraId="59E13DC4" w14:textId="77777777" w:rsidR="004000E8" w:rsidRPr="00264B7E" w:rsidRDefault="00230D18" w:rsidP="00CE0424">
      <w:pPr>
        <w:pStyle w:val="Heading1"/>
        <w:rPr>
          <w:lang w:val="en-US"/>
        </w:rPr>
      </w:pPr>
      <w:r w:rsidRPr="00264B7E">
        <w:rPr>
          <w:lang w:val="en-US"/>
        </w:rPr>
        <w:t>2</w:t>
      </w:r>
      <w:r w:rsidRPr="00264B7E">
        <w:rPr>
          <w:lang w:val="en-US"/>
        </w:rPr>
        <w:tab/>
      </w:r>
      <w:r w:rsidR="004000E8" w:rsidRPr="00264B7E">
        <w:rPr>
          <w:lang w:val="en-US"/>
        </w:rPr>
        <w:t>Discussion</w:t>
      </w:r>
      <w:bookmarkEnd w:id="2"/>
    </w:p>
    <w:p w14:paraId="65E1B60F" w14:textId="451FB19F" w:rsidR="00AB557F" w:rsidRDefault="00AB557F" w:rsidP="004868A8">
      <w:pPr>
        <w:pStyle w:val="Heading2"/>
      </w:pPr>
      <w:r>
        <w:t>SSB periodicity</w:t>
      </w:r>
    </w:p>
    <w:p w14:paraId="70B26453" w14:textId="719B1781" w:rsidR="00A036E2" w:rsidRPr="006F2034" w:rsidRDefault="006F2034" w:rsidP="006F2034">
      <w:pPr>
        <w:pStyle w:val="BodyText"/>
      </w:pPr>
      <w:r>
        <w:t>RAN1 already agreed to support extended periodicity of the half frames with SS/PBCH blocks assumed by UE during initial access up to 160 ms:</w:t>
      </w:r>
    </w:p>
    <w:tbl>
      <w:tblPr>
        <w:tblStyle w:val="TableGrid"/>
        <w:tblW w:w="0" w:type="auto"/>
        <w:tblLook w:val="04A0" w:firstRow="1" w:lastRow="0" w:firstColumn="1" w:lastColumn="0" w:noHBand="0" w:noVBand="1"/>
      </w:tblPr>
      <w:tblGrid>
        <w:gridCol w:w="9629"/>
      </w:tblGrid>
      <w:tr w:rsidR="006F2034" w14:paraId="064AA2FF" w14:textId="77777777" w:rsidTr="006F2034">
        <w:tc>
          <w:tcPr>
            <w:tcW w:w="9629" w:type="dxa"/>
          </w:tcPr>
          <w:p w14:paraId="71C98172" w14:textId="77777777" w:rsidR="006F2034" w:rsidRPr="00460457" w:rsidRDefault="006F2034" w:rsidP="006F2034">
            <w:pPr>
              <w:rPr>
                <w:rFonts w:ascii="Times New Roman" w:hAnsi="Times New Roman"/>
                <w:szCs w:val="20"/>
              </w:rPr>
            </w:pPr>
            <w:r w:rsidRPr="00460457">
              <w:rPr>
                <w:rFonts w:ascii="Times New Roman" w:hAnsi="Times New Roman"/>
                <w:szCs w:val="20"/>
                <w:highlight w:val="green"/>
              </w:rPr>
              <w:t>Agreement</w:t>
            </w:r>
          </w:p>
          <w:p w14:paraId="5A77EB46" w14:textId="77777777" w:rsidR="006F2034" w:rsidRPr="00460457" w:rsidRDefault="006F2034" w:rsidP="006F2034">
            <w:pPr>
              <w:rPr>
                <w:rFonts w:ascii="Times New Roman" w:hAnsi="Times New Roman"/>
                <w:szCs w:val="20"/>
              </w:rPr>
            </w:pPr>
            <w:r w:rsidRPr="00460457">
              <w:rPr>
                <w:rFonts w:ascii="Times New Roman" w:hAnsi="Times New Roman"/>
                <w:szCs w:val="20"/>
              </w:rPr>
              <w:t xml:space="preserve">For NR NTN, support extended periodicity of the half frames with SS/PBCH blocks assumed by UE during initial access. </w:t>
            </w:r>
          </w:p>
          <w:p w14:paraId="4589B5D2" w14:textId="77777777" w:rsidR="006F2034" w:rsidRPr="00460457" w:rsidRDefault="006F2034" w:rsidP="006F2034">
            <w:pPr>
              <w:pStyle w:val="ListParagraph"/>
              <w:numPr>
                <w:ilvl w:val="0"/>
                <w:numId w:val="45"/>
              </w:numPr>
              <w:suppressAutoHyphens/>
              <w:overflowPunct/>
              <w:autoSpaceDE/>
              <w:autoSpaceDN/>
              <w:adjustRightInd/>
              <w:jc w:val="left"/>
              <w:textAlignment w:val="auto"/>
              <w:rPr>
                <w:rFonts w:ascii="Times New Roman" w:hAnsi="Times New Roman"/>
                <w:szCs w:val="20"/>
              </w:rPr>
            </w:pPr>
            <w:r w:rsidRPr="00460457">
              <w:rPr>
                <w:rFonts w:ascii="Times New Roman" w:hAnsi="Times New Roman"/>
                <w:szCs w:val="20"/>
              </w:rPr>
              <w:t>The maximum of the additional default value (apart from the existing 20ms value) is at least 160 ms.</w:t>
            </w:r>
          </w:p>
          <w:p w14:paraId="0BF30D1C" w14:textId="66B7FF15" w:rsidR="006F2034" w:rsidRPr="006F2034" w:rsidRDefault="006F2034" w:rsidP="002B7730">
            <w:pPr>
              <w:pStyle w:val="ListParagraph"/>
              <w:numPr>
                <w:ilvl w:val="1"/>
                <w:numId w:val="45"/>
              </w:numPr>
              <w:suppressAutoHyphens/>
              <w:overflowPunct/>
              <w:autoSpaceDE/>
              <w:autoSpaceDN/>
              <w:adjustRightInd/>
              <w:jc w:val="left"/>
              <w:textAlignment w:val="auto"/>
              <w:rPr>
                <w:rFonts w:ascii="Times New Roman" w:hAnsi="Times New Roman"/>
                <w:szCs w:val="20"/>
              </w:rPr>
            </w:pPr>
            <w:r w:rsidRPr="00460457">
              <w:rPr>
                <w:rFonts w:ascii="Times New Roman" w:hAnsi="Times New Roman"/>
                <w:szCs w:val="20"/>
              </w:rPr>
              <w:t>FFS: whether 320ms can be supported as the maximum of the additional default value instead of or in addition to 160ms</w:t>
            </w:r>
          </w:p>
        </w:tc>
      </w:tr>
    </w:tbl>
    <w:p w14:paraId="421E45E7" w14:textId="236C6998" w:rsidR="00A036E2" w:rsidRDefault="00A036E2" w:rsidP="002B7730">
      <w:pPr>
        <w:rPr>
          <w:lang w:eastAsia="en-GB"/>
        </w:rPr>
      </w:pPr>
    </w:p>
    <w:p w14:paraId="111BB461" w14:textId="0B962F73" w:rsidR="006F2034" w:rsidRDefault="006F2034" w:rsidP="002B7730">
      <w:pPr>
        <w:rPr>
          <w:lang w:eastAsia="en-GB"/>
        </w:rPr>
      </w:pPr>
      <w:r>
        <w:rPr>
          <w:lang w:eastAsia="en-GB"/>
        </w:rPr>
        <w:t>In same time, the RAN1 agreed on the following configuration for downlink coverage enhancement evaluation (both system and link level):</w:t>
      </w:r>
    </w:p>
    <w:tbl>
      <w:tblPr>
        <w:tblStyle w:val="TableTheme"/>
        <w:tblW w:w="8968" w:type="dxa"/>
        <w:tblLook w:val="04A0" w:firstRow="1" w:lastRow="0" w:firstColumn="1" w:lastColumn="0" w:noHBand="0" w:noVBand="1"/>
      </w:tblPr>
      <w:tblGrid>
        <w:gridCol w:w="3681"/>
        <w:gridCol w:w="949"/>
        <w:gridCol w:w="4338"/>
      </w:tblGrid>
      <w:tr w:rsidR="006F2034" w:rsidRPr="00923D99" w14:paraId="2648D909" w14:textId="77777777" w:rsidTr="005268B4">
        <w:trPr>
          <w:trHeight w:val="208"/>
        </w:trPr>
        <w:tc>
          <w:tcPr>
            <w:tcW w:w="4630" w:type="dxa"/>
            <w:gridSpan w:val="2"/>
            <w:noWrap/>
            <w:vAlign w:val="center"/>
          </w:tcPr>
          <w:p w14:paraId="0D831801" w14:textId="77777777" w:rsidR="006F2034" w:rsidRPr="006F2034" w:rsidRDefault="006F2034" w:rsidP="005268B4">
            <w:pPr>
              <w:rPr>
                <w:b/>
                <w:color w:val="000000"/>
                <w:szCs w:val="22"/>
              </w:rPr>
            </w:pPr>
            <w:r w:rsidRPr="006F2034">
              <w:rPr>
                <w:b/>
                <w:color w:val="000000"/>
                <w:szCs w:val="22"/>
              </w:rPr>
              <w:t>Scenario</w:t>
            </w:r>
          </w:p>
        </w:tc>
        <w:tc>
          <w:tcPr>
            <w:tcW w:w="4338" w:type="dxa"/>
            <w:noWrap/>
            <w:vAlign w:val="center"/>
          </w:tcPr>
          <w:p w14:paraId="793CA312" w14:textId="77777777" w:rsidR="006F2034" w:rsidRPr="00923D99" w:rsidRDefault="006F2034" w:rsidP="005268B4">
            <w:pPr>
              <w:jc w:val="left"/>
              <w:rPr>
                <w:color w:val="000000"/>
                <w:szCs w:val="22"/>
              </w:rPr>
            </w:pPr>
            <w:r w:rsidRPr="00D90224">
              <w:rPr>
                <w:color w:val="000000"/>
                <w:szCs w:val="22"/>
              </w:rPr>
              <w:t>Set1-1</w:t>
            </w:r>
            <w:r>
              <w:rPr>
                <w:color w:val="000000"/>
                <w:szCs w:val="22"/>
              </w:rPr>
              <w:t xml:space="preserve"> FR1, </w:t>
            </w:r>
            <w:r w:rsidRPr="00D90224">
              <w:rPr>
                <w:color w:val="000000"/>
                <w:szCs w:val="22"/>
              </w:rPr>
              <w:t>Set1-</w:t>
            </w:r>
            <w:r>
              <w:rPr>
                <w:color w:val="000000"/>
                <w:szCs w:val="22"/>
              </w:rPr>
              <w:t>2 FR1, Set1-3</w:t>
            </w:r>
            <w:r w:rsidRPr="00D90224">
              <w:rPr>
                <w:color w:val="000000"/>
                <w:szCs w:val="22"/>
              </w:rPr>
              <w:t xml:space="preserve"> FR1</w:t>
            </w:r>
            <w:r>
              <w:rPr>
                <w:color w:val="000000"/>
                <w:szCs w:val="22"/>
              </w:rPr>
              <w:t xml:space="preserve"> and </w:t>
            </w:r>
            <w:r w:rsidRPr="00D90224">
              <w:rPr>
                <w:color w:val="000000"/>
                <w:szCs w:val="22"/>
              </w:rPr>
              <w:t>Set1-1</w:t>
            </w:r>
            <w:r>
              <w:rPr>
                <w:color w:val="000000"/>
                <w:szCs w:val="22"/>
              </w:rPr>
              <w:t xml:space="preserve"> FR2</w:t>
            </w:r>
          </w:p>
        </w:tc>
      </w:tr>
      <w:tr w:rsidR="006F2034" w:rsidRPr="00923D99" w14:paraId="588AF987" w14:textId="77777777" w:rsidTr="005268B4">
        <w:trPr>
          <w:trHeight w:val="208"/>
        </w:trPr>
        <w:tc>
          <w:tcPr>
            <w:tcW w:w="4630" w:type="dxa"/>
            <w:gridSpan w:val="2"/>
            <w:noWrap/>
            <w:vAlign w:val="center"/>
            <w:hideMark/>
          </w:tcPr>
          <w:p w14:paraId="53BAEC89" w14:textId="77777777" w:rsidR="006F2034" w:rsidRPr="006F2034" w:rsidRDefault="006F2034" w:rsidP="005268B4">
            <w:pPr>
              <w:rPr>
                <w:b/>
                <w:color w:val="000000"/>
                <w:szCs w:val="22"/>
              </w:rPr>
            </w:pPr>
            <w:r w:rsidRPr="006F2034">
              <w:rPr>
                <w:b/>
                <w:color w:val="000000"/>
                <w:szCs w:val="22"/>
              </w:rPr>
              <w:t>Total number of beam footprints</w:t>
            </w:r>
          </w:p>
        </w:tc>
        <w:tc>
          <w:tcPr>
            <w:tcW w:w="4338" w:type="dxa"/>
            <w:noWrap/>
            <w:vAlign w:val="center"/>
            <w:hideMark/>
          </w:tcPr>
          <w:p w14:paraId="45111B70" w14:textId="77777777" w:rsidR="006F2034" w:rsidRDefault="006F2034" w:rsidP="005268B4">
            <w:pPr>
              <w:jc w:val="left"/>
              <w:rPr>
                <w:color w:val="000000"/>
                <w:szCs w:val="22"/>
              </w:rPr>
            </w:pPr>
            <w:r w:rsidRPr="006F2034">
              <w:rPr>
                <w:color w:val="000000"/>
                <w:szCs w:val="22"/>
                <w:highlight w:val="yellow"/>
              </w:rPr>
              <w:t>1058</w:t>
            </w:r>
            <w:r>
              <w:rPr>
                <w:color w:val="000000"/>
                <w:szCs w:val="22"/>
              </w:rPr>
              <w:t xml:space="preserve"> for </w:t>
            </w:r>
            <w:r w:rsidRPr="00D90224">
              <w:rPr>
                <w:color w:val="000000"/>
                <w:szCs w:val="22"/>
              </w:rPr>
              <w:t>Set1-1</w:t>
            </w:r>
            <w:r>
              <w:rPr>
                <w:color w:val="000000"/>
                <w:szCs w:val="22"/>
              </w:rPr>
              <w:t xml:space="preserve"> FR1, </w:t>
            </w:r>
            <w:r w:rsidRPr="00D90224">
              <w:rPr>
                <w:color w:val="000000"/>
                <w:szCs w:val="22"/>
              </w:rPr>
              <w:t>Set1-</w:t>
            </w:r>
            <w:r>
              <w:rPr>
                <w:color w:val="000000"/>
                <w:szCs w:val="22"/>
              </w:rPr>
              <w:t>2 FR1 and Set1-3</w:t>
            </w:r>
            <w:r w:rsidRPr="00D90224">
              <w:rPr>
                <w:color w:val="000000"/>
                <w:szCs w:val="22"/>
              </w:rPr>
              <w:t xml:space="preserve"> FR1</w:t>
            </w:r>
          </w:p>
          <w:p w14:paraId="3C565F18" w14:textId="77777777" w:rsidR="006F2034" w:rsidRPr="00923D99" w:rsidRDefault="006F2034" w:rsidP="005268B4">
            <w:pPr>
              <w:jc w:val="left"/>
              <w:rPr>
                <w:color w:val="000000"/>
                <w:szCs w:val="22"/>
              </w:rPr>
            </w:pPr>
            <w:r w:rsidRPr="006F2034">
              <w:rPr>
                <w:color w:val="000000"/>
                <w:szCs w:val="22"/>
                <w:highlight w:val="yellow"/>
              </w:rPr>
              <w:t>800</w:t>
            </w:r>
            <w:r>
              <w:rPr>
                <w:color w:val="000000"/>
                <w:szCs w:val="22"/>
              </w:rPr>
              <w:t xml:space="preserve"> for </w:t>
            </w:r>
            <w:r w:rsidRPr="00D90224">
              <w:rPr>
                <w:color w:val="000000"/>
                <w:szCs w:val="22"/>
              </w:rPr>
              <w:t>Set1-1</w:t>
            </w:r>
            <w:r>
              <w:rPr>
                <w:color w:val="000000"/>
                <w:szCs w:val="22"/>
              </w:rPr>
              <w:t xml:space="preserve"> FR2</w:t>
            </w:r>
          </w:p>
        </w:tc>
      </w:tr>
      <w:tr w:rsidR="006F2034" w:rsidRPr="00923D99" w14:paraId="15B42870" w14:textId="77777777" w:rsidTr="005268B4">
        <w:trPr>
          <w:trHeight w:val="208"/>
        </w:trPr>
        <w:tc>
          <w:tcPr>
            <w:tcW w:w="4630" w:type="dxa"/>
            <w:gridSpan w:val="2"/>
            <w:noWrap/>
            <w:vAlign w:val="center"/>
            <w:hideMark/>
          </w:tcPr>
          <w:p w14:paraId="669399C4" w14:textId="77777777" w:rsidR="006F2034" w:rsidRPr="006F2034" w:rsidRDefault="006F2034" w:rsidP="005268B4">
            <w:pPr>
              <w:rPr>
                <w:b/>
                <w:color w:val="000000"/>
                <w:szCs w:val="22"/>
              </w:rPr>
            </w:pPr>
            <w:r w:rsidRPr="006F2034">
              <w:rPr>
                <w:b/>
                <w:color w:val="000000"/>
                <w:szCs w:val="22"/>
              </w:rPr>
              <w:t>Total number of simultaneously active beams</w:t>
            </w:r>
          </w:p>
        </w:tc>
        <w:tc>
          <w:tcPr>
            <w:tcW w:w="4338" w:type="dxa"/>
            <w:noWrap/>
            <w:vAlign w:val="center"/>
            <w:hideMark/>
          </w:tcPr>
          <w:p w14:paraId="477ED95B" w14:textId="77777777" w:rsidR="006F2034" w:rsidRDefault="006F2034" w:rsidP="005268B4">
            <w:pPr>
              <w:jc w:val="left"/>
              <w:rPr>
                <w:color w:val="000000"/>
                <w:szCs w:val="22"/>
              </w:rPr>
            </w:pPr>
            <w:r w:rsidRPr="006F2034">
              <w:rPr>
                <w:color w:val="000000"/>
                <w:szCs w:val="22"/>
                <w:highlight w:val="yellow"/>
              </w:rPr>
              <w:t>106</w:t>
            </w:r>
            <w:r>
              <w:rPr>
                <w:color w:val="000000"/>
                <w:szCs w:val="22"/>
              </w:rPr>
              <w:t xml:space="preserve"> for </w:t>
            </w:r>
            <w:r w:rsidRPr="00D90224">
              <w:rPr>
                <w:color w:val="000000"/>
                <w:szCs w:val="22"/>
              </w:rPr>
              <w:t>Set1-1</w:t>
            </w:r>
            <w:r>
              <w:rPr>
                <w:color w:val="000000"/>
                <w:szCs w:val="22"/>
              </w:rPr>
              <w:t xml:space="preserve"> FR1 and Set1-3</w:t>
            </w:r>
            <w:r w:rsidRPr="00D90224">
              <w:rPr>
                <w:color w:val="000000"/>
                <w:szCs w:val="22"/>
              </w:rPr>
              <w:t xml:space="preserve"> FR1</w:t>
            </w:r>
          </w:p>
          <w:p w14:paraId="68655A23" w14:textId="77777777" w:rsidR="006F2034" w:rsidRDefault="006F2034" w:rsidP="005268B4">
            <w:pPr>
              <w:jc w:val="left"/>
              <w:rPr>
                <w:color w:val="000000"/>
                <w:szCs w:val="22"/>
              </w:rPr>
            </w:pPr>
            <w:r w:rsidRPr="006F2034">
              <w:rPr>
                <w:color w:val="000000"/>
                <w:szCs w:val="22"/>
                <w:highlight w:val="yellow"/>
              </w:rPr>
              <w:t>16</w:t>
            </w:r>
            <w:r>
              <w:rPr>
                <w:color w:val="000000"/>
                <w:szCs w:val="22"/>
              </w:rPr>
              <w:t xml:space="preserve"> for </w:t>
            </w:r>
            <w:r w:rsidRPr="00D90224">
              <w:rPr>
                <w:color w:val="000000"/>
                <w:szCs w:val="22"/>
              </w:rPr>
              <w:t>Set1-</w:t>
            </w:r>
            <w:r>
              <w:rPr>
                <w:color w:val="000000"/>
                <w:szCs w:val="22"/>
              </w:rPr>
              <w:t>2 FR1</w:t>
            </w:r>
          </w:p>
          <w:p w14:paraId="133FE801" w14:textId="77777777" w:rsidR="006F2034" w:rsidRPr="00923D99" w:rsidRDefault="006F2034" w:rsidP="005268B4">
            <w:pPr>
              <w:jc w:val="left"/>
              <w:rPr>
                <w:color w:val="000000"/>
                <w:szCs w:val="22"/>
              </w:rPr>
            </w:pPr>
            <w:r w:rsidRPr="006F2034">
              <w:rPr>
                <w:color w:val="000000"/>
                <w:szCs w:val="22"/>
                <w:highlight w:val="yellow"/>
              </w:rPr>
              <w:t>12</w:t>
            </w:r>
            <w:r>
              <w:rPr>
                <w:color w:val="000000"/>
                <w:szCs w:val="22"/>
              </w:rPr>
              <w:t xml:space="preserve"> for </w:t>
            </w:r>
            <w:r w:rsidRPr="00D90224">
              <w:rPr>
                <w:color w:val="000000"/>
                <w:szCs w:val="22"/>
              </w:rPr>
              <w:t>Set1-</w:t>
            </w:r>
            <w:r>
              <w:rPr>
                <w:color w:val="000000"/>
                <w:szCs w:val="22"/>
              </w:rPr>
              <w:t>1 FR2</w:t>
            </w:r>
          </w:p>
        </w:tc>
      </w:tr>
      <w:tr w:rsidR="006F2034" w:rsidRPr="00923D99" w14:paraId="48F8814D" w14:textId="77777777" w:rsidTr="005268B4">
        <w:trPr>
          <w:trHeight w:val="208"/>
        </w:trPr>
        <w:tc>
          <w:tcPr>
            <w:tcW w:w="3681" w:type="dxa"/>
            <w:noWrap/>
            <w:vAlign w:val="center"/>
            <w:hideMark/>
          </w:tcPr>
          <w:p w14:paraId="3D8F72D9" w14:textId="77777777" w:rsidR="006F2034" w:rsidRPr="006F2034" w:rsidRDefault="006F2034" w:rsidP="005268B4">
            <w:pPr>
              <w:rPr>
                <w:b/>
                <w:color w:val="000000"/>
                <w:szCs w:val="22"/>
              </w:rPr>
            </w:pPr>
            <w:r w:rsidRPr="006F2034">
              <w:rPr>
                <w:b/>
                <w:color w:val="000000"/>
                <w:szCs w:val="22"/>
              </w:rPr>
              <w:t>Hopping Ratio (Hr)</w:t>
            </w:r>
          </w:p>
        </w:tc>
        <w:tc>
          <w:tcPr>
            <w:tcW w:w="949" w:type="dxa"/>
            <w:noWrap/>
            <w:vAlign w:val="center"/>
            <w:hideMark/>
          </w:tcPr>
          <w:p w14:paraId="4335CC7E" w14:textId="77777777" w:rsidR="006F2034" w:rsidRPr="006F2034" w:rsidRDefault="006F2034" w:rsidP="005268B4">
            <w:pPr>
              <w:rPr>
                <w:b/>
              </w:rPr>
            </w:pPr>
            <w:r w:rsidRPr="006F2034">
              <w:rPr>
                <w:b/>
              </w:rPr>
              <w:t>Hr</w:t>
            </w:r>
          </w:p>
        </w:tc>
        <w:tc>
          <w:tcPr>
            <w:tcW w:w="4338" w:type="dxa"/>
            <w:noWrap/>
            <w:vAlign w:val="center"/>
            <w:hideMark/>
          </w:tcPr>
          <w:p w14:paraId="01F2D991" w14:textId="77777777" w:rsidR="006F2034" w:rsidRDefault="006F2034" w:rsidP="005268B4">
            <w:pPr>
              <w:jc w:val="left"/>
              <w:rPr>
                <w:color w:val="000000"/>
                <w:szCs w:val="22"/>
              </w:rPr>
            </w:pPr>
            <w:r w:rsidRPr="00923D99">
              <w:rPr>
                <w:color w:val="000000"/>
                <w:szCs w:val="22"/>
              </w:rPr>
              <w:t>0,100</w:t>
            </w:r>
            <w:r>
              <w:rPr>
                <w:color w:val="000000"/>
                <w:szCs w:val="22"/>
              </w:rPr>
              <w:t xml:space="preserve"> (or </w:t>
            </w:r>
            <w:r w:rsidRPr="006F2034">
              <w:rPr>
                <w:color w:val="000000"/>
                <w:szCs w:val="22"/>
                <w:highlight w:val="yellow"/>
              </w:rPr>
              <w:t>10</w:t>
            </w:r>
            <w:r>
              <w:rPr>
                <w:color w:val="000000"/>
                <w:szCs w:val="22"/>
              </w:rPr>
              <w:t xml:space="preserve">%) for </w:t>
            </w:r>
            <w:r w:rsidRPr="00D90224">
              <w:rPr>
                <w:color w:val="000000"/>
                <w:szCs w:val="22"/>
              </w:rPr>
              <w:t>Set1-1</w:t>
            </w:r>
            <w:r>
              <w:rPr>
                <w:color w:val="000000"/>
                <w:szCs w:val="22"/>
              </w:rPr>
              <w:t xml:space="preserve"> FR1 and Set1-3</w:t>
            </w:r>
            <w:r w:rsidRPr="00D90224">
              <w:rPr>
                <w:color w:val="000000"/>
                <w:szCs w:val="22"/>
              </w:rPr>
              <w:t xml:space="preserve"> FR1</w:t>
            </w:r>
          </w:p>
          <w:p w14:paraId="5C913058" w14:textId="77777777" w:rsidR="006F2034" w:rsidRPr="00923D99" w:rsidRDefault="006F2034" w:rsidP="005268B4">
            <w:pPr>
              <w:jc w:val="left"/>
              <w:rPr>
                <w:color w:val="000000"/>
                <w:szCs w:val="22"/>
              </w:rPr>
            </w:pPr>
            <w:r>
              <w:rPr>
                <w:color w:val="000000"/>
                <w:szCs w:val="22"/>
              </w:rPr>
              <w:lastRenderedPageBreak/>
              <w:t xml:space="preserve">0,015 (or </w:t>
            </w:r>
            <w:r w:rsidRPr="006F2034">
              <w:rPr>
                <w:color w:val="000000"/>
                <w:szCs w:val="22"/>
                <w:highlight w:val="yellow"/>
              </w:rPr>
              <w:t>1,5</w:t>
            </w:r>
            <w:r>
              <w:rPr>
                <w:color w:val="000000"/>
                <w:szCs w:val="22"/>
              </w:rPr>
              <w:t xml:space="preserve">%) for </w:t>
            </w:r>
            <w:r w:rsidRPr="00D90224">
              <w:rPr>
                <w:color w:val="000000"/>
                <w:szCs w:val="22"/>
              </w:rPr>
              <w:t>Set1-</w:t>
            </w:r>
            <w:r>
              <w:rPr>
                <w:color w:val="000000"/>
                <w:szCs w:val="22"/>
              </w:rPr>
              <w:t xml:space="preserve">2 FR1 and </w:t>
            </w:r>
            <w:r w:rsidRPr="00D90224">
              <w:rPr>
                <w:color w:val="000000"/>
                <w:szCs w:val="22"/>
              </w:rPr>
              <w:t>Set1-1</w:t>
            </w:r>
            <w:r>
              <w:rPr>
                <w:color w:val="000000"/>
                <w:szCs w:val="22"/>
              </w:rPr>
              <w:t xml:space="preserve"> FR2</w:t>
            </w:r>
          </w:p>
        </w:tc>
      </w:tr>
      <w:tr w:rsidR="006F2034" w:rsidRPr="00923D99" w14:paraId="7B1862B6" w14:textId="77777777" w:rsidTr="005268B4">
        <w:trPr>
          <w:trHeight w:val="208"/>
        </w:trPr>
        <w:tc>
          <w:tcPr>
            <w:tcW w:w="4630" w:type="dxa"/>
            <w:gridSpan w:val="2"/>
            <w:noWrap/>
            <w:vAlign w:val="center"/>
            <w:hideMark/>
          </w:tcPr>
          <w:p w14:paraId="008555F2" w14:textId="77777777" w:rsidR="006F2034" w:rsidRPr="006F2034" w:rsidRDefault="006F2034" w:rsidP="005268B4">
            <w:pPr>
              <w:rPr>
                <w:b/>
                <w:color w:val="000000"/>
                <w:szCs w:val="22"/>
              </w:rPr>
            </w:pPr>
            <w:r w:rsidRPr="006F2034">
              <w:rPr>
                <w:b/>
                <w:color w:val="000000"/>
                <w:szCs w:val="22"/>
              </w:rPr>
              <w:lastRenderedPageBreak/>
              <w:t>Size of the cluster of cells</w:t>
            </w:r>
          </w:p>
        </w:tc>
        <w:tc>
          <w:tcPr>
            <w:tcW w:w="4338" w:type="dxa"/>
            <w:noWrap/>
            <w:vAlign w:val="center"/>
            <w:hideMark/>
          </w:tcPr>
          <w:p w14:paraId="163ED8C4" w14:textId="77777777" w:rsidR="006F2034" w:rsidRDefault="006F2034" w:rsidP="005268B4">
            <w:pPr>
              <w:jc w:val="left"/>
              <w:rPr>
                <w:color w:val="000000"/>
                <w:szCs w:val="22"/>
              </w:rPr>
            </w:pPr>
            <w:r w:rsidRPr="00923D99">
              <w:rPr>
                <w:color w:val="000000"/>
                <w:szCs w:val="22"/>
              </w:rPr>
              <w:t>10</w:t>
            </w:r>
            <w:r>
              <w:rPr>
                <w:color w:val="000000"/>
                <w:szCs w:val="22"/>
              </w:rPr>
              <w:t xml:space="preserve"> (</w:t>
            </w:r>
            <w:r w:rsidRPr="009E397E">
              <w:rPr>
                <w:color w:val="000000"/>
                <w:szCs w:val="22"/>
              </w:rPr>
              <w:t>1 beam is used to illuminate a cluster of 10 cells</w:t>
            </w:r>
            <w:r>
              <w:rPr>
                <w:color w:val="000000"/>
                <w:szCs w:val="22"/>
              </w:rPr>
              <w:t xml:space="preserve">) for </w:t>
            </w:r>
            <w:r w:rsidRPr="00D90224">
              <w:rPr>
                <w:color w:val="000000"/>
                <w:szCs w:val="22"/>
              </w:rPr>
              <w:t>Set1-1</w:t>
            </w:r>
            <w:r>
              <w:rPr>
                <w:color w:val="000000"/>
                <w:szCs w:val="22"/>
              </w:rPr>
              <w:t xml:space="preserve"> and Set1-3</w:t>
            </w:r>
            <w:r w:rsidRPr="00D90224">
              <w:rPr>
                <w:color w:val="000000"/>
                <w:szCs w:val="22"/>
              </w:rPr>
              <w:t xml:space="preserve"> FR1</w:t>
            </w:r>
          </w:p>
          <w:p w14:paraId="040EA55C" w14:textId="77777777" w:rsidR="006F2034" w:rsidRDefault="006F2034" w:rsidP="005268B4">
            <w:pPr>
              <w:jc w:val="left"/>
              <w:rPr>
                <w:color w:val="000000"/>
                <w:szCs w:val="22"/>
              </w:rPr>
            </w:pPr>
            <w:r>
              <w:rPr>
                <w:color w:val="000000"/>
                <w:szCs w:val="22"/>
              </w:rPr>
              <w:t>66 (</w:t>
            </w:r>
            <w:r w:rsidRPr="009E397E">
              <w:rPr>
                <w:color w:val="000000"/>
                <w:szCs w:val="22"/>
              </w:rPr>
              <w:t xml:space="preserve">1 beam is used to illuminate a cluster of </w:t>
            </w:r>
            <w:r>
              <w:rPr>
                <w:color w:val="000000"/>
                <w:szCs w:val="22"/>
              </w:rPr>
              <w:t>66</w:t>
            </w:r>
            <w:r w:rsidRPr="009E397E">
              <w:rPr>
                <w:color w:val="000000"/>
                <w:szCs w:val="22"/>
              </w:rPr>
              <w:t xml:space="preserve"> cells</w:t>
            </w:r>
            <w:r>
              <w:rPr>
                <w:color w:val="000000"/>
                <w:szCs w:val="22"/>
              </w:rPr>
              <w:t>) for Set1-2</w:t>
            </w:r>
            <w:r w:rsidRPr="00D90224">
              <w:rPr>
                <w:color w:val="000000"/>
                <w:szCs w:val="22"/>
              </w:rPr>
              <w:t xml:space="preserve"> FR1</w:t>
            </w:r>
          </w:p>
          <w:p w14:paraId="40EA6458" w14:textId="77777777" w:rsidR="006F2034" w:rsidRPr="00923D99" w:rsidRDefault="006F2034" w:rsidP="005268B4">
            <w:pPr>
              <w:jc w:val="left"/>
              <w:rPr>
                <w:color w:val="000000"/>
                <w:szCs w:val="22"/>
              </w:rPr>
            </w:pPr>
            <w:r>
              <w:rPr>
                <w:color w:val="000000"/>
                <w:szCs w:val="22"/>
              </w:rPr>
              <w:t>67 (</w:t>
            </w:r>
            <w:r w:rsidRPr="009E397E">
              <w:rPr>
                <w:color w:val="000000"/>
                <w:szCs w:val="22"/>
              </w:rPr>
              <w:t xml:space="preserve">1 beam is used to illuminate a cluster of </w:t>
            </w:r>
            <w:r>
              <w:rPr>
                <w:color w:val="000000"/>
                <w:szCs w:val="22"/>
              </w:rPr>
              <w:t>67</w:t>
            </w:r>
            <w:r w:rsidRPr="009E397E">
              <w:rPr>
                <w:color w:val="000000"/>
                <w:szCs w:val="22"/>
              </w:rPr>
              <w:t xml:space="preserve"> cells</w:t>
            </w:r>
            <w:r>
              <w:rPr>
                <w:color w:val="000000"/>
                <w:szCs w:val="22"/>
              </w:rPr>
              <w:t>) for Set1-1</w:t>
            </w:r>
            <w:r w:rsidRPr="00D90224">
              <w:rPr>
                <w:color w:val="000000"/>
                <w:szCs w:val="22"/>
              </w:rPr>
              <w:t xml:space="preserve"> FR</w:t>
            </w:r>
            <w:r>
              <w:rPr>
                <w:color w:val="000000"/>
                <w:szCs w:val="22"/>
              </w:rPr>
              <w:t>2</w:t>
            </w:r>
          </w:p>
        </w:tc>
      </w:tr>
    </w:tbl>
    <w:p w14:paraId="1BA71417" w14:textId="08E04ACB" w:rsidR="006F2034" w:rsidRDefault="006F2034" w:rsidP="002B7730">
      <w:pPr>
        <w:rPr>
          <w:lang w:eastAsia="en-GB"/>
        </w:rPr>
      </w:pPr>
    </w:p>
    <w:p w14:paraId="38364E20" w14:textId="77777777" w:rsidR="00AB557F" w:rsidRPr="004868A8" w:rsidRDefault="00AB557F" w:rsidP="00AB557F">
      <w:pPr>
        <w:spacing w:after="60"/>
        <w:rPr>
          <w:lang w:eastAsia="en-GB"/>
        </w:rPr>
      </w:pPr>
      <w:r w:rsidRPr="004868A8">
        <w:rPr>
          <w:lang w:eastAsia="en-GB"/>
        </w:rPr>
        <w:t>It was agreed in RAN1#118bis to support a maximum of the additional default value of SSB periodicity (apart from the existing 20ms value) of at least 160ms. It is still FFS whether an SSB value of 320ms could be supported.</w:t>
      </w:r>
    </w:p>
    <w:p w14:paraId="165FEE6E" w14:textId="77777777" w:rsidR="00AB557F" w:rsidRPr="004868A8" w:rsidRDefault="00AB557F" w:rsidP="00AB557F">
      <w:pPr>
        <w:spacing w:after="60"/>
        <w:rPr>
          <w:lang w:eastAsia="en-GB"/>
        </w:rPr>
      </w:pPr>
      <w:r w:rsidRPr="004868A8">
        <w:rPr>
          <w:lang w:eastAsia="en-GB"/>
        </w:rPr>
        <w:t>Based on RAN1#118bis agreement the SSB periodicity assumed by the UE for initial cell selection is could be set equal to 160ms. Thereby, cell supporting initial access could have PBCH periods of 5, 10, 20, 40, 80 or 160ms.</w:t>
      </w:r>
    </w:p>
    <w:p w14:paraId="794AAC67" w14:textId="77777777" w:rsidR="00AB557F" w:rsidRDefault="00AB557F" w:rsidP="00AB557F">
      <w:pPr>
        <w:spacing w:after="60"/>
        <w:rPr>
          <w:lang w:eastAsia="en-GB"/>
        </w:rPr>
      </w:pPr>
    </w:p>
    <w:p w14:paraId="40C4DF55" w14:textId="26ED9F9C" w:rsidR="00AB557F" w:rsidRPr="004868A8" w:rsidRDefault="00AB557F" w:rsidP="00AB557F">
      <w:pPr>
        <w:spacing w:after="60"/>
        <w:rPr>
          <w:b/>
          <w:lang w:eastAsia="en-GB"/>
        </w:rPr>
      </w:pPr>
      <w:r w:rsidRPr="004868A8">
        <w:rPr>
          <w:b/>
          <w:lang w:eastAsia="en-GB"/>
        </w:rPr>
        <w:t>Observation 1</w:t>
      </w:r>
      <w:r w:rsidRPr="004868A8">
        <w:rPr>
          <w:b/>
          <w:lang w:eastAsia="en-GB"/>
        </w:rPr>
        <w:tab/>
      </w:r>
      <w:r w:rsidRPr="004868A8">
        <w:rPr>
          <w:b/>
          <w:lang w:eastAsia="en-GB"/>
        </w:rPr>
        <w:t>Based on RAN1#118bis agreement, the maximum default value of SSB periodicity of the additional default value (apart from the existing 20ms value) is at least 160ms. Therefore, cell supporting initial access could have PBCH period</w:t>
      </w:r>
      <w:r w:rsidRPr="00AB557F">
        <w:rPr>
          <w:b/>
          <w:lang w:eastAsia="en-GB"/>
        </w:rPr>
        <w:t>s of 5, 10, 20, 40, 80 or 160ms</w:t>
      </w:r>
    </w:p>
    <w:p w14:paraId="5BB899B7" w14:textId="77777777" w:rsidR="00AB557F" w:rsidRPr="004868A8" w:rsidRDefault="00AB557F" w:rsidP="00AB557F">
      <w:pPr>
        <w:spacing w:after="60"/>
        <w:rPr>
          <w:lang w:eastAsia="en-GB"/>
        </w:rPr>
      </w:pPr>
    </w:p>
    <w:p w14:paraId="53EDF984" w14:textId="77777777" w:rsidR="00AB557F" w:rsidRPr="004868A8" w:rsidRDefault="00AB557F" w:rsidP="00AB557F">
      <w:pPr>
        <w:spacing w:after="60"/>
        <w:rPr>
          <w:lang w:eastAsia="en-GB"/>
        </w:rPr>
      </w:pPr>
      <w:r w:rsidRPr="004868A8">
        <w:rPr>
          <w:lang w:eastAsia="en-GB"/>
        </w:rPr>
        <w:t>It is worth noting that based on RAN2 agreement, SSB periodicity within 160ms won’t impact specification from RAN2 perspective.</w:t>
      </w:r>
    </w:p>
    <w:p w14:paraId="6B8A1657" w14:textId="77777777" w:rsidR="00AB557F" w:rsidRPr="004868A8" w:rsidRDefault="00AB557F" w:rsidP="00AB557F">
      <w:pPr>
        <w:spacing w:after="60"/>
        <w:rPr>
          <w:lang w:eastAsia="en-GB"/>
        </w:rPr>
      </w:pPr>
    </w:p>
    <w:p w14:paraId="2B87FC32" w14:textId="77777777" w:rsidR="00AB557F" w:rsidRPr="004868A8" w:rsidRDefault="00AB557F" w:rsidP="00AB557F">
      <w:pPr>
        <w:spacing w:after="60"/>
        <w:rPr>
          <w:lang w:eastAsia="en-GB"/>
        </w:rPr>
      </w:pPr>
      <w:r w:rsidRPr="004868A8">
        <w:rPr>
          <w:lang w:eastAsia="en-GB"/>
        </w:rPr>
        <w:t xml:space="preserve">Regarding the remaining FFS from previous RAN1 meeting, in our view, extending the periodicity of the Synchronization Signal Block (SSB) beyond the established 160ms (for example, to 320ms) in would have several implications: </w:t>
      </w:r>
    </w:p>
    <w:p w14:paraId="1AE2D5EB" w14:textId="77777777" w:rsidR="00AB557F" w:rsidRPr="004868A8" w:rsidRDefault="00AB557F" w:rsidP="00AB557F">
      <w:pPr>
        <w:pStyle w:val="ListParagraph"/>
        <w:numPr>
          <w:ilvl w:val="0"/>
          <w:numId w:val="46"/>
        </w:numPr>
        <w:overflowPunct/>
        <w:autoSpaceDE/>
        <w:autoSpaceDN/>
        <w:adjustRightInd/>
        <w:spacing w:after="60"/>
        <w:textAlignment w:val="auto"/>
        <w:rPr>
          <w:rFonts w:ascii="Arial" w:eastAsia="Times New Roman" w:hAnsi="Arial"/>
          <w:sz w:val="20"/>
          <w:szCs w:val="20"/>
          <w:lang w:val="en-US" w:eastAsia="en-GB"/>
        </w:rPr>
      </w:pPr>
      <w:r w:rsidRPr="004868A8">
        <w:rPr>
          <w:rFonts w:ascii="Arial" w:eastAsia="Times New Roman" w:hAnsi="Arial"/>
          <w:sz w:val="20"/>
          <w:szCs w:val="20"/>
          <w:lang w:val="en-US" w:eastAsia="en-GB"/>
        </w:rPr>
        <w:t>Increased Latency: A longer periodicity means that devices (UEs) attempting to access the network or perform cell search might experience increased latency since they would have to wait longer for the SSB to be broadcasted</w:t>
      </w:r>
    </w:p>
    <w:p w14:paraId="0B35645A" w14:textId="77777777" w:rsidR="00AB557F" w:rsidRPr="004868A8" w:rsidRDefault="00AB557F" w:rsidP="00AB557F">
      <w:pPr>
        <w:pStyle w:val="ListParagraph"/>
        <w:numPr>
          <w:ilvl w:val="0"/>
          <w:numId w:val="46"/>
        </w:numPr>
        <w:overflowPunct/>
        <w:autoSpaceDE/>
        <w:autoSpaceDN/>
        <w:adjustRightInd/>
        <w:spacing w:after="60"/>
        <w:textAlignment w:val="auto"/>
        <w:rPr>
          <w:rFonts w:ascii="Arial" w:eastAsia="Times New Roman" w:hAnsi="Arial"/>
          <w:sz w:val="20"/>
          <w:szCs w:val="20"/>
          <w:lang w:val="en-US" w:eastAsia="en-GB"/>
        </w:rPr>
      </w:pPr>
      <w:r w:rsidRPr="004868A8">
        <w:rPr>
          <w:rFonts w:ascii="Arial" w:eastAsia="Times New Roman" w:hAnsi="Arial"/>
          <w:sz w:val="20"/>
          <w:szCs w:val="20"/>
          <w:lang w:val="en-US" w:eastAsia="en-GB"/>
        </w:rPr>
        <w:t>Handovers and Reselections: The time it takes to detect and measure neighboring cells, which is crucial for handovers and cell reselections, could be negatively impacted. This could result in slower or less reliable handovers, affecting user experience, especially at high speeds.</w:t>
      </w:r>
    </w:p>
    <w:p w14:paraId="1A578B38" w14:textId="77777777" w:rsidR="00AB557F" w:rsidRPr="004868A8" w:rsidRDefault="00AB557F" w:rsidP="00AB557F">
      <w:pPr>
        <w:pStyle w:val="ListParagraph"/>
        <w:numPr>
          <w:ilvl w:val="0"/>
          <w:numId w:val="46"/>
        </w:numPr>
        <w:overflowPunct/>
        <w:autoSpaceDE/>
        <w:autoSpaceDN/>
        <w:adjustRightInd/>
        <w:spacing w:after="60"/>
        <w:textAlignment w:val="auto"/>
        <w:rPr>
          <w:rFonts w:ascii="Arial" w:eastAsia="Times New Roman" w:hAnsi="Arial"/>
          <w:sz w:val="20"/>
          <w:szCs w:val="20"/>
          <w:lang w:val="en-US" w:eastAsia="en-GB"/>
        </w:rPr>
      </w:pPr>
      <w:r w:rsidRPr="004868A8">
        <w:rPr>
          <w:rFonts w:ascii="Arial" w:eastAsia="Times New Roman" w:hAnsi="Arial"/>
          <w:sz w:val="20"/>
          <w:szCs w:val="20"/>
          <w:lang w:val="en-US" w:eastAsia="en-GB"/>
        </w:rPr>
        <w:t>Implementation Complexity at UE side</w:t>
      </w:r>
    </w:p>
    <w:p w14:paraId="2B849180" w14:textId="77777777" w:rsidR="00AB557F" w:rsidRPr="004868A8" w:rsidRDefault="00AB557F" w:rsidP="00AB557F">
      <w:pPr>
        <w:pStyle w:val="ListParagraph"/>
        <w:numPr>
          <w:ilvl w:val="0"/>
          <w:numId w:val="46"/>
        </w:numPr>
        <w:overflowPunct/>
        <w:autoSpaceDE/>
        <w:autoSpaceDN/>
        <w:adjustRightInd/>
        <w:spacing w:after="60"/>
        <w:textAlignment w:val="auto"/>
        <w:rPr>
          <w:rFonts w:ascii="Arial" w:eastAsia="Times New Roman" w:hAnsi="Arial"/>
          <w:sz w:val="20"/>
          <w:szCs w:val="20"/>
          <w:lang w:val="en-US" w:eastAsia="en-GB"/>
        </w:rPr>
      </w:pPr>
      <w:r w:rsidRPr="004868A8">
        <w:rPr>
          <w:rFonts w:ascii="Arial" w:eastAsia="Times New Roman" w:hAnsi="Arial"/>
          <w:sz w:val="20"/>
          <w:szCs w:val="20"/>
          <w:lang w:val="en-US" w:eastAsia="en-GB"/>
        </w:rPr>
        <w:t>Backward Compatibility: Ensuring compatibility with existing devices and network elements that are designed based on a 160ms periodicity would be necessary, posing an additional challenge.</w:t>
      </w:r>
    </w:p>
    <w:p w14:paraId="17CEB125" w14:textId="77777777" w:rsidR="00AB557F" w:rsidRPr="004868A8" w:rsidRDefault="00AB557F" w:rsidP="00AB557F">
      <w:pPr>
        <w:pStyle w:val="ListParagraph"/>
        <w:numPr>
          <w:ilvl w:val="0"/>
          <w:numId w:val="46"/>
        </w:numPr>
        <w:overflowPunct/>
        <w:autoSpaceDE/>
        <w:autoSpaceDN/>
        <w:adjustRightInd/>
        <w:spacing w:after="60"/>
        <w:textAlignment w:val="auto"/>
        <w:rPr>
          <w:rFonts w:ascii="Arial" w:eastAsia="Times New Roman" w:hAnsi="Arial"/>
          <w:sz w:val="20"/>
          <w:szCs w:val="20"/>
          <w:lang w:val="en-US" w:eastAsia="en-GB"/>
        </w:rPr>
      </w:pPr>
      <w:r w:rsidRPr="004868A8">
        <w:rPr>
          <w:rFonts w:ascii="Arial" w:eastAsia="Times New Roman" w:hAnsi="Arial"/>
          <w:sz w:val="20"/>
          <w:szCs w:val="20"/>
          <w:lang w:val="en-US" w:eastAsia="en-GB"/>
        </w:rPr>
        <w:t>Specifications impacts: according to the above RAN2 agreement extending the SSB periodicity beyond the established 160ms will require several changes/adaptations: for example, ssb-PeriodicityServingCell, measurement gap periodicity, SMTC configuration, ssb-Periodicity-r17 for NonCellDefiningSSB-r17. More importantly, the requirements stemming from RAN4 RRM requirements (related to various aspects such as timing, radio measurements etc) collectively ensure that the SSB periodicity of maximum 160ms supports efficient network operation while maintaining a balance between access latency, mobility performance, and power consumption. Changes to this periodicity would necessitate a thorough review of these requirements to maintain network performance and user experience.</w:t>
      </w:r>
    </w:p>
    <w:p w14:paraId="6F6EA384" w14:textId="77777777" w:rsidR="00AB557F" w:rsidRPr="004868A8" w:rsidRDefault="00AB557F" w:rsidP="00AB557F">
      <w:pPr>
        <w:spacing w:after="60"/>
        <w:rPr>
          <w:lang w:eastAsia="en-GB"/>
        </w:rPr>
      </w:pPr>
    </w:p>
    <w:p w14:paraId="0283FF4F" w14:textId="77777777" w:rsidR="00AB557F" w:rsidRPr="004868A8" w:rsidRDefault="00AB557F" w:rsidP="00AB557F">
      <w:pPr>
        <w:spacing w:after="60" w:line="140" w:lineRule="exact"/>
        <w:rPr>
          <w:lang w:eastAsia="en-GB"/>
        </w:rPr>
      </w:pPr>
    </w:p>
    <w:p w14:paraId="1FA2074B" w14:textId="031DC821" w:rsidR="00AB557F" w:rsidRPr="004868A8" w:rsidRDefault="00AB557F" w:rsidP="002B7730">
      <w:pPr>
        <w:rPr>
          <w:b/>
          <w:lang w:eastAsia="en-GB"/>
        </w:rPr>
      </w:pPr>
      <w:r w:rsidRPr="00AB557F">
        <w:rPr>
          <w:b/>
          <w:lang w:eastAsia="en-GB"/>
        </w:rPr>
        <w:t>Proposal 1</w:t>
      </w:r>
      <w:r w:rsidRPr="00AB557F">
        <w:rPr>
          <w:b/>
          <w:lang w:eastAsia="en-GB"/>
        </w:rPr>
        <w:tab/>
      </w:r>
      <w:r>
        <w:rPr>
          <w:b/>
          <w:lang w:eastAsia="en-GB"/>
        </w:rPr>
        <w:tab/>
      </w:r>
      <w:r w:rsidRPr="004868A8">
        <w:rPr>
          <w:b/>
          <w:lang w:eastAsia="en-GB"/>
        </w:rPr>
        <w:t xml:space="preserve">Do not extend the SSB periodicity beyond </w:t>
      </w:r>
      <w:r w:rsidRPr="00AB557F">
        <w:rPr>
          <w:b/>
          <w:lang w:eastAsia="en-GB"/>
        </w:rPr>
        <w:t>the established value of 160ms</w:t>
      </w:r>
    </w:p>
    <w:p w14:paraId="44AA425B" w14:textId="6497A17B" w:rsidR="0071025B" w:rsidRPr="0071025B" w:rsidRDefault="00AB557F" w:rsidP="00E1412B">
      <w:pPr>
        <w:rPr>
          <w:b/>
          <w:lang w:eastAsia="en-GB"/>
        </w:rPr>
      </w:pPr>
      <w:r>
        <w:rPr>
          <w:b/>
          <w:lang w:eastAsia="en-GB"/>
        </w:rPr>
        <w:t>Proposal 2</w:t>
      </w:r>
      <w:r>
        <w:rPr>
          <w:b/>
          <w:lang w:eastAsia="en-GB"/>
        </w:rPr>
        <w:tab/>
      </w:r>
      <w:r>
        <w:rPr>
          <w:b/>
          <w:lang w:eastAsia="en-GB"/>
        </w:rPr>
        <w:tab/>
      </w:r>
      <w:r w:rsidR="0071025B">
        <w:rPr>
          <w:b/>
          <w:lang w:eastAsia="en-GB"/>
        </w:rPr>
        <w:t xml:space="preserve">The UE </w:t>
      </w:r>
      <w:r>
        <w:rPr>
          <w:b/>
          <w:lang w:eastAsia="en-GB"/>
        </w:rPr>
        <w:t>can deduces the cell support Downlink Coverage enhancement when the detected SSB periodicity is larger than 20 ms</w:t>
      </w:r>
    </w:p>
    <w:p w14:paraId="479F1D25" w14:textId="208F4EDE" w:rsidR="0071025B" w:rsidRDefault="0071025B" w:rsidP="00E1412B">
      <w:pPr>
        <w:rPr>
          <w:lang w:eastAsia="en-GB"/>
        </w:rPr>
      </w:pPr>
      <w:r>
        <w:rPr>
          <w:lang w:eastAsia="en-GB"/>
        </w:rPr>
        <w:t>Since a cell with beam hoping is like another cell, but with a transmission pattern,</w:t>
      </w:r>
      <w:r w:rsidR="00AB557F">
        <w:rPr>
          <w:lang w:eastAsia="en-GB"/>
        </w:rPr>
        <w:t xml:space="preserve"> and the SSB is not extended above 160ms,</w:t>
      </w:r>
      <w:r>
        <w:rPr>
          <w:lang w:eastAsia="en-GB"/>
        </w:rPr>
        <w:t xml:space="preserve"> there is no reason to bar specific NTN UE to access to the network. </w:t>
      </w:r>
    </w:p>
    <w:p w14:paraId="40C778A0" w14:textId="26C20FB9" w:rsidR="002E550A" w:rsidRDefault="002E550A" w:rsidP="00E1412B">
      <w:pPr>
        <w:rPr>
          <w:b/>
          <w:lang w:eastAsia="en-GB"/>
        </w:rPr>
      </w:pPr>
      <w:r>
        <w:rPr>
          <w:b/>
          <w:lang w:eastAsia="en-GB"/>
        </w:rPr>
        <w:t xml:space="preserve">Proposal </w:t>
      </w:r>
      <w:r w:rsidR="00AB557F">
        <w:rPr>
          <w:b/>
          <w:lang w:eastAsia="en-GB"/>
        </w:rPr>
        <w:t>3</w:t>
      </w:r>
      <w:r>
        <w:rPr>
          <w:b/>
          <w:lang w:eastAsia="en-GB"/>
        </w:rPr>
        <w:tab/>
      </w:r>
      <w:r>
        <w:rPr>
          <w:b/>
          <w:lang w:eastAsia="en-GB"/>
        </w:rPr>
        <w:tab/>
        <w:t xml:space="preserve">Do not introduce a cell barring bit for cell working </w:t>
      </w:r>
      <w:r w:rsidR="00A02C98">
        <w:rPr>
          <w:b/>
          <w:lang w:eastAsia="en-GB"/>
        </w:rPr>
        <w:t>with extended SSB periodicity</w:t>
      </w:r>
    </w:p>
    <w:p w14:paraId="2CE4E2A8" w14:textId="40BC829D" w:rsidR="002E550A" w:rsidRDefault="002E550A" w:rsidP="00E1412B">
      <w:pPr>
        <w:rPr>
          <w:lang w:eastAsia="en-GB"/>
        </w:rPr>
      </w:pPr>
      <w:r>
        <w:rPr>
          <w:lang w:eastAsia="en-GB"/>
        </w:rPr>
        <w:lastRenderedPageBreak/>
        <w:t>The beam hoping is a necessary enhancement for NTN network to allow constrained NTN payload to provide a better coverage by turning off some cell and turning on the other. It should be the most transparent as possible for the NTN UE (pre-Rel-19 and Rel-19 UEs). In RAN2#126, an agreement was captured to go on this direction :</w:t>
      </w:r>
    </w:p>
    <w:tbl>
      <w:tblPr>
        <w:tblStyle w:val="TableGrid"/>
        <w:tblW w:w="0" w:type="auto"/>
        <w:tblLook w:val="04A0" w:firstRow="1" w:lastRow="0" w:firstColumn="1" w:lastColumn="0" w:noHBand="0" w:noVBand="1"/>
      </w:tblPr>
      <w:tblGrid>
        <w:gridCol w:w="9629"/>
      </w:tblGrid>
      <w:tr w:rsidR="002E550A" w14:paraId="724F7EE6" w14:textId="77777777" w:rsidTr="002E550A">
        <w:tc>
          <w:tcPr>
            <w:tcW w:w="9629" w:type="dxa"/>
          </w:tcPr>
          <w:p w14:paraId="59D2428A" w14:textId="4D857AF4" w:rsidR="002E550A" w:rsidRDefault="002E550A" w:rsidP="00E1412B">
            <w:pPr>
              <w:rPr>
                <w:lang w:eastAsia="en-GB"/>
              </w:rPr>
            </w:pPr>
            <w:r>
              <w:rPr>
                <w:lang w:val="en-GB"/>
              </w:rPr>
              <w:t>Based on the solution being investigated in RAN1, RAN2 will further discuss whether/how legacy UEs might operate in a cell supporting DL coverage enhancements</w:t>
            </w:r>
          </w:p>
        </w:tc>
      </w:tr>
    </w:tbl>
    <w:p w14:paraId="19F9B708" w14:textId="10171B31" w:rsidR="002E550A" w:rsidRDefault="002E550A" w:rsidP="00E1412B">
      <w:pPr>
        <w:rPr>
          <w:lang w:eastAsia="en-GB"/>
        </w:rPr>
      </w:pPr>
    </w:p>
    <w:p w14:paraId="617AE31E" w14:textId="2E7A1DF1" w:rsidR="002E550A" w:rsidRPr="002E550A" w:rsidRDefault="002E550A" w:rsidP="00E1412B">
      <w:pPr>
        <w:rPr>
          <w:b/>
          <w:lang w:eastAsia="en-GB"/>
        </w:rPr>
      </w:pPr>
      <w:r>
        <w:rPr>
          <w:b/>
          <w:lang w:eastAsia="en-GB"/>
        </w:rPr>
        <w:t xml:space="preserve">Observation </w:t>
      </w:r>
      <w:r w:rsidR="00AB557F">
        <w:rPr>
          <w:b/>
          <w:lang w:eastAsia="en-GB"/>
        </w:rPr>
        <w:t>2</w:t>
      </w:r>
      <w:r>
        <w:rPr>
          <w:b/>
          <w:lang w:eastAsia="en-GB"/>
        </w:rPr>
        <w:tab/>
        <w:t xml:space="preserve">Legacy UE </w:t>
      </w:r>
      <w:r w:rsidR="00016632">
        <w:rPr>
          <w:b/>
          <w:lang w:eastAsia="en-GB"/>
        </w:rPr>
        <w:t xml:space="preserve">can </w:t>
      </w:r>
      <w:r>
        <w:rPr>
          <w:b/>
          <w:lang w:eastAsia="en-GB"/>
        </w:rPr>
        <w:t xml:space="preserve">operate in a cell working </w:t>
      </w:r>
      <w:r w:rsidR="00016632">
        <w:rPr>
          <w:b/>
          <w:lang w:eastAsia="en-GB"/>
        </w:rPr>
        <w:t>with maximum SSB periodicity up to 160ms</w:t>
      </w:r>
    </w:p>
    <w:p w14:paraId="5193F95A" w14:textId="561865A3" w:rsidR="00AB557F" w:rsidRDefault="00AB557F" w:rsidP="004868A8">
      <w:pPr>
        <w:pStyle w:val="Heading2"/>
        <w:rPr>
          <w:lang w:eastAsia="en-GB"/>
        </w:rPr>
      </w:pPr>
      <w:r>
        <w:rPr>
          <w:lang w:eastAsia="en-GB"/>
        </w:rPr>
        <w:t>Cell DTX/DRX</w:t>
      </w:r>
    </w:p>
    <w:p w14:paraId="1A38D22A" w14:textId="238C1F28" w:rsidR="00E1412B" w:rsidRDefault="00E1412B" w:rsidP="00E1412B">
      <w:pPr>
        <w:rPr>
          <w:lang w:eastAsia="en-GB"/>
        </w:rPr>
      </w:pPr>
      <w:r>
        <w:rPr>
          <w:lang w:eastAsia="en-GB"/>
        </w:rPr>
        <w:t>The cell DTX/DRX mechanism can be re-used to handle the beam hoping. The cell-level DTX/DRX for Rel-18 NES already define patterns and behavior for UE and network. In top of that, the SSB is pattern should match to the DTX/DRX patter</w:t>
      </w:r>
      <w:r w:rsidR="0071025B">
        <w:rPr>
          <w:lang w:eastAsia="en-GB"/>
        </w:rPr>
        <w:t xml:space="preserve">n </w:t>
      </w:r>
      <w:r>
        <w:rPr>
          <w:lang w:eastAsia="en-GB"/>
        </w:rPr>
        <w:t>that could be made by a proper configuration at the implementation.</w:t>
      </w:r>
    </w:p>
    <w:p w14:paraId="44866AD2" w14:textId="3BCA6708" w:rsidR="00E1412B" w:rsidRDefault="00E1412B" w:rsidP="00E1412B">
      <w:pPr>
        <w:rPr>
          <w:b/>
          <w:lang w:eastAsia="en-GB"/>
        </w:rPr>
      </w:pPr>
      <w:r>
        <w:rPr>
          <w:b/>
          <w:lang w:eastAsia="en-GB"/>
        </w:rPr>
        <w:t xml:space="preserve">Proposal </w:t>
      </w:r>
      <w:r w:rsidR="002E550A">
        <w:rPr>
          <w:b/>
          <w:lang w:eastAsia="en-GB"/>
        </w:rPr>
        <w:t>3</w:t>
      </w:r>
      <w:r>
        <w:rPr>
          <w:b/>
          <w:lang w:eastAsia="en-GB"/>
        </w:rPr>
        <w:tab/>
      </w:r>
      <w:r>
        <w:rPr>
          <w:b/>
          <w:lang w:eastAsia="en-GB"/>
        </w:rPr>
        <w:tab/>
      </w:r>
      <w:r w:rsidR="0071025B">
        <w:rPr>
          <w:b/>
          <w:lang w:eastAsia="en-GB"/>
        </w:rPr>
        <w:t>The cell-level DTX/DRX for Rel-18 NES could be re-used to handle system-level beam hoping mechanism for Downlink Coverage enhancement NTN Rel-19</w:t>
      </w:r>
    </w:p>
    <w:p w14:paraId="7E45CBBE" w14:textId="4C13F9F4" w:rsidR="0071025B" w:rsidRPr="0071025B" w:rsidRDefault="0071025B" w:rsidP="00E1412B">
      <w:pPr>
        <w:rPr>
          <w:b/>
          <w:lang w:eastAsia="en-GB"/>
        </w:rPr>
      </w:pPr>
      <w:r>
        <w:rPr>
          <w:b/>
          <w:lang w:eastAsia="en-GB"/>
        </w:rPr>
        <w:t xml:space="preserve">Observation </w:t>
      </w:r>
      <w:r w:rsidR="002E550A">
        <w:rPr>
          <w:b/>
          <w:lang w:eastAsia="en-GB"/>
        </w:rPr>
        <w:t>2</w:t>
      </w:r>
      <w:r>
        <w:rPr>
          <w:b/>
          <w:lang w:eastAsia="en-GB"/>
        </w:rPr>
        <w:tab/>
        <w:t>The SSB pattern should match to the DTX/DRX pattern to avoid SSB transmission during DTX/DRX</w:t>
      </w:r>
    </w:p>
    <w:p w14:paraId="6FCDA6C1" w14:textId="33BBDF3F" w:rsidR="00BC3255" w:rsidRDefault="0071025B" w:rsidP="0071025B">
      <w:pPr>
        <w:rPr>
          <w:lang w:eastAsia="en-GB"/>
        </w:rPr>
      </w:pPr>
      <w:r>
        <w:rPr>
          <w:lang w:eastAsia="en-GB"/>
        </w:rPr>
        <w:t>We cannot assume a fixed</w:t>
      </w:r>
      <w:r w:rsidR="002E550A">
        <w:rPr>
          <w:lang w:eastAsia="en-GB"/>
        </w:rPr>
        <w:t xml:space="preserve"> dwell pattern in the cell lifetime. According to the satellite capacity, the number of users and the geography, the SSB periodicity and the DTX/DRX pattern can change.</w:t>
      </w:r>
      <w:r w:rsidR="00BC3255">
        <w:rPr>
          <w:lang w:eastAsia="en-GB"/>
        </w:rPr>
        <w:t xml:space="preserve"> Also, for the mobility event in Earth-fixed cell, the target cells can be configured with a lower SSB periodicity and higher revisit time to handle the mobility of a group of UE.</w:t>
      </w:r>
    </w:p>
    <w:p w14:paraId="49704077" w14:textId="1F567562" w:rsidR="00BC3255" w:rsidRPr="00BC3255" w:rsidRDefault="00BC3255" w:rsidP="0071025B">
      <w:pPr>
        <w:rPr>
          <w:b/>
          <w:lang w:eastAsia="en-GB"/>
        </w:rPr>
      </w:pPr>
      <w:r>
        <w:rPr>
          <w:b/>
          <w:lang w:eastAsia="en-GB"/>
        </w:rPr>
        <w:t>Observation 3</w:t>
      </w:r>
      <w:r>
        <w:rPr>
          <w:b/>
          <w:lang w:eastAsia="en-GB"/>
        </w:rPr>
        <w:tab/>
        <w:t>The dwell pattern could not be fixed in time for a given cell, e.g. during a mobility event with Earth-F</w:t>
      </w:r>
      <w:r w:rsidR="00D12E35">
        <w:rPr>
          <w:b/>
          <w:lang w:eastAsia="en-GB"/>
        </w:rPr>
        <w:t>ixed Cells</w:t>
      </w:r>
    </w:p>
    <w:p w14:paraId="77D8DF59" w14:textId="793B3783" w:rsidR="0071025B" w:rsidRDefault="00007D48" w:rsidP="0071025B">
      <w:pPr>
        <w:rPr>
          <w:lang w:eastAsia="en-GB"/>
        </w:rPr>
      </w:pPr>
      <w:r>
        <w:rPr>
          <w:lang w:eastAsia="en-GB"/>
        </w:rPr>
        <w:t>The DTX/DRX is configured via UE-specific RRC signaling and can be activated/de-activated via dynamic L1/L2 signaling. Therefore, the DTX/DRX can be done by a quasi-dynamically with a question on the overhead and can be dynamically activated/de-activated.</w:t>
      </w:r>
    </w:p>
    <w:p w14:paraId="7641BB9D" w14:textId="1DDB856A" w:rsidR="00DC7187" w:rsidRDefault="00D22D4F" w:rsidP="002B7730">
      <w:pPr>
        <w:rPr>
          <w:b/>
          <w:lang w:eastAsia="en-GB"/>
        </w:rPr>
      </w:pPr>
      <w:r>
        <w:rPr>
          <w:b/>
          <w:lang w:eastAsia="en-GB"/>
        </w:rPr>
        <w:t>Proposal 4</w:t>
      </w:r>
      <w:r>
        <w:rPr>
          <w:b/>
          <w:lang w:eastAsia="en-GB"/>
        </w:rPr>
        <w:tab/>
      </w:r>
      <w:r>
        <w:rPr>
          <w:b/>
          <w:lang w:eastAsia="en-GB"/>
        </w:rPr>
        <w:tab/>
        <w:t>The UE is</w:t>
      </w:r>
      <w:r w:rsidR="00AB557F">
        <w:rPr>
          <w:b/>
          <w:lang w:eastAsia="en-GB"/>
        </w:rPr>
        <w:t xml:space="preserve"> </w:t>
      </w:r>
      <w:r>
        <w:rPr>
          <w:b/>
          <w:lang w:eastAsia="en-GB"/>
        </w:rPr>
        <w:t xml:space="preserve">informed of the DRX/DTX pattern </w:t>
      </w:r>
      <w:r w:rsidR="00007D48">
        <w:rPr>
          <w:b/>
          <w:lang w:eastAsia="en-GB"/>
        </w:rPr>
        <w:t>quasi-</w:t>
      </w:r>
      <w:r>
        <w:rPr>
          <w:b/>
          <w:lang w:eastAsia="en-GB"/>
        </w:rPr>
        <w:t>dynamically using existing procedure. FFS if enhancements are necessary to reduce overhead, especially when the NTN beam is turned on/off periodically</w:t>
      </w:r>
    </w:p>
    <w:p w14:paraId="0054164E" w14:textId="0A61BFFA" w:rsidR="00D22D4F" w:rsidRDefault="00EF36A6" w:rsidP="002B7730">
      <w:pPr>
        <w:rPr>
          <w:lang w:eastAsia="en-GB"/>
        </w:rPr>
      </w:pPr>
      <w:r>
        <w:rPr>
          <w:lang w:eastAsia="en-GB"/>
        </w:rPr>
        <w:t>When a UE is trying to connect to a cell in coverage enhancement, according to RAN1, UE does not assume that SSB periodicity of 20 ms for initial attach. The value can be 20 to 160 ms and can be pre-configured by the operator in the UE. After decoding the SSB, the UE will try a PRACH. To be successful, the Msg1 and Msg3 should be received by the gNB when the cell is turned on. The Msg2 and Msg4 are transmitted when the cell is not in DTX</w:t>
      </w:r>
      <w:r w:rsidR="00007D48">
        <w:rPr>
          <w:lang w:eastAsia="en-GB"/>
        </w:rPr>
        <w:t xml:space="preserve"> mode. At the Msg1 transmission, the UE is not aware of the DTX/DRX pattern. The UE transmit the preamble on the next Random Access Opportunity.</w:t>
      </w:r>
    </w:p>
    <w:p w14:paraId="630E849A" w14:textId="02C7B388" w:rsidR="00007D48" w:rsidRDefault="00007D48" w:rsidP="002B7730">
      <w:pPr>
        <w:rPr>
          <w:b/>
          <w:lang w:eastAsia="en-GB"/>
        </w:rPr>
      </w:pPr>
      <w:r>
        <w:rPr>
          <w:b/>
          <w:lang w:eastAsia="en-GB"/>
        </w:rPr>
        <w:t>Observation 4</w:t>
      </w:r>
      <w:r>
        <w:rPr>
          <w:b/>
          <w:lang w:eastAsia="en-GB"/>
        </w:rPr>
        <w:tab/>
      </w:r>
      <w:r w:rsidR="00316DA7">
        <w:rPr>
          <w:b/>
          <w:lang w:eastAsia="en-GB"/>
        </w:rPr>
        <w:t>UE is not aware of the DTX/DRX pattern at the initial attach</w:t>
      </w:r>
    </w:p>
    <w:p w14:paraId="0564E8C3" w14:textId="234C95D4" w:rsidR="00316DA7" w:rsidRPr="00007D48" w:rsidRDefault="00316DA7" w:rsidP="002B7730">
      <w:pPr>
        <w:rPr>
          <w:b/>
          <w:lang w:eastAsia="en-GB"/>
        </w:rPr>
      </w:pPr>
      <w:r>
        <w:rPr>
          <w:b/>
          <w:lang w:eastAsia="en-GB"/>
        </w:rPr>
        <w:t>Proposal 5</w:t>
      </w:r>
      <w:r>
        <w:rPr>
          <w:b/>
          <w:lang w:eastAsia="en-GB"/>
        </w:rPr>
        <w:tab/>
      </w:r>
      <w:r>
        <w:rPr>
          <w:b/>
          <w:lang w:eastAsia="en-GB"/>
        </w:rPr>
        <w:tab/>
        <w:t>RAN2 discusses the possible impacts and necessary enhancements on Random Access procedures when DTX/DRX is configured</w:t>
      </w:r>
    </w:p>
    <w:p w14:paraId="35BD4047" w14:textId="1E8A26B9" w:rsidR="00316DA7" w:rsidRDefault="00316DA7" w:rsidP="00DC7187">
      <w:pPr>
        <w:rPr>
          <w:lang w:eastAsia="en-GB"/>
        </w:rPr>
      </w:pPr>
      <w:r>
        <w:rPr>
          <w:lang w:eastAsia="en-GB"/>
        </w:rPr>
        <w:t>Once the UE is connected, it is configured with the DTX/DRX pattern. During the DTX period, the UE is not required to monitor control channel or perform measurements on the serving cell.</w:t>
      </w:r>
      <w:r w:rsidR="00AB5E42">
        <w:rPr>
          <w:lang w:eastAsia="en-GB"/>
        </w:rPr>
        <w:t xml:space="preserve"> The C-DRX can be configured for the UE for power saving purpose. It should be aligned with the DTX cycle length.</w:t>
      </w:r>
    </w:p>
    <w:p w14:paraId="60451F3C" w14:textId="1BBDF3F5" w:rsidR="00316DA7" w:rsidRDefault="00316DA7" w:rsidP="00DC7187">
      <w:pPr>
        <w:rPr>
          <w:b/>
          <w:lang w:eastAsia="en-GB"/>
        </w:rPr>
      </w:pPr>
      <w:r>
        <w:rPr>
          <w:b/>
          <w:lang w:eastAsia="en-GB"/>
        </w:rPr>
        <w:t>Proposal 6</w:t>
      </w:r>
      <w:r>
        <w:rPr>
          <w:b/>
          <w:lang w:eastAsia="en-GB"/>
        </w:rPr>
        <w:tab/>
      </w:r>
      <w:r>
        <w:rPr>
          <w:b/>
          <w:lang w:eastAsia="en-GB"/>
        </w:rPr>
        <w:tab/>
      </w:r>
      <w:r w:rsidR="00AB5E42">
        <w:rPr>
          <w:b/>
          <w:lang w:eastAsia="en-GB"/>
        </w:rPr>
        <w:t>The connected UE is not required to monitor PDCCH or perform the serving cell during the configured DTX period when activated</w:t>
      </w:r>
    </w:p>
    <w:p w14:paraId="0BA4ADBB" w14:textId="30C4A097" w:rsidR="00AB5E42" w:rsidRDefault="00AB5E42" w:rsidP="00DC7187">
      <w:pPr>
        <w:rPr>
          <w:b/>
          <w:lang w:eastAsia="en-GB"/>
        </w:rPr>
      </w:pPr>
      <w:r>
        <w:rPr>
          <w:b/>
          <w:lang w:eastAsia="en-GB"/>
        </w:rPr>
        <w:t>Proposal 7</w:t>
      </w:r>
      <w:r>
        <w:rPr>
          <w:b/>
          <w:lang w:eastAsia="en-GB"/>
        </w:rPr>
        <w:tab/>
      </w:r>
      <w:r>
        <w:rPr>
          <w:b/>
          <w:lang w:eastAsia="en-GB"/>
        </w:rPr>
        <w:tab/>
        <w:t>The connected UE should be configured with a C-DRX where the cycle length should be aligned with one or multiple times of the DTX cycle length</w:t>
      </w:r>
    </w:p>
    <w:p w14:paraId="5348AB36" w14:textId="0999E557" w:rsidR="00437D66" w:rsidRDefault="00456CFE" w:rsidP="00DC7187">
      <w:pPr>
        <w:rPr>
          <w:b/>
          <w:lang w:eastAsia="en-GB"/>
        </w:rPr>
      </w:pPr>
      <w:r>
        <w:rPr>
          <w:lang w:eastAsia="en-GB"/>
        </w:rPr>
        <w:t>It is likely that neighbour cells are also configured with downlink coverage enhancement mode in a NTN deployment. The UE should measures neighbour cell when it is on. So, the UEs need to be informed for cell (re-)selection on the DTX/DRX pattern and the SSB periodicity.</w:t>
      </w:r>
    </w:p>
    <w:p w14:paraId="0FFB082D" w14:textId="50F89297" w:rsidR="008809D2" w:rsidRPr="008809D2" w:rsidRDefault="00456CFE" w:rsidP="00DC7187">
      <w:pPr>
        <w:rPr>
          <w:b/>
          <w:lang w:eastAsia="en-GB"/>
        </w:rPr>
      </w:pPr>
      <w:r>
        <w:rPr>
          <w:b/>
          <w:lang w:eastAsia="en-GB"/>
        </w:rPr>
        <w:lastRenderedPageBreak/>
        <w:t>Proposal 8</w:t>
      </w:r>
      <w:r>
        <w:rPr>
          <w:b/>
          <w:lang w:eastAsia="en-GB"/>
        </w:rPr>
        <w:tab/>
      </w:r>
      <w:r>
        <w:rPr>
          <w:b/>
          <w:lang w:eastAsia="en-GB"/>
        </w:rPr>
        <w:tab/>
        <w:t>The UEs are informed of the DTX/DRX pattern</w:t>
      </w:r>
      <w:r w:rsidR="00437D66">
        <w:rPr>
          <w:b/>
          <w:lang w:eastAsia="en-GB"/>
        </w:rPr>
        <w:t xml:space="preserve"> </w:t>
      </w:r>
      <w:r w:rsidR="006B5F98">
        <w:rPr>
          <w:b/>
          <w:lang w:eastAsia="en-GB"/>
        </w:rPr>
        <w:t xml:space="preserve">of the neighbour cell. FFS if this indicated in SIB19 </w:t>
      </w:r>
      <w:r w:rsidR="006B5F98" w:rsidRPr="006B5F98">
        <w:rPr>
          <w:b/>
          <w:i/>
          <w:lang w:eastAsia="en-GB"/>
        </w:rPr>
        <w:t>NTN-NeighCellConfig</w:t>
      </w:r>
      <w:r w:rsidR="006B5F98">
        <w:rPr>
          <w:b/>
          <w:lang w:eastAsia="en-GB"/>
        </w:rPr>
        <w:t xml:space="preserve"> or by other mean</w:t>
      </w:r>
      <w:r w:rsidR="008809D2">
        <w:rPr>
          <w:b/>
          <w:lang w:eastAsia="en-GB"/>
        </w:rPr>
        <w:t>s</w:t>
      </w:r>
    </w:p>
    <w:p w14:paraId="121D65BA" w14:textId="00715D8B" w:rsidR="006B5F98" w:rsidRDefault="006B5F98" w:rsidP="00DC7187">
      <w:pPr>
        <w:rPr>
          <w:lang w:eastAsia="en-GB"/>
        </w:rPr>
      </w:pPr>
      <w:r>
        <w:rPr>
          <w:lang w:eastAsia="en-GB"/>
        </w:rPr>
        <w:t>If the DTX/DRX pattern of the neighbour cells is indicated to the UE</w:t>
      </w:r>
      <w:r w:rsidR="008809D2">
        <w:rPr>
          <w:lang w:eastAsia="en-GB"/>
        </w:rPr>
        <w:t xml:space="preserve"> there could be an issue with the timing</w:t>
      </w:r>
      <w:r w:rsidR="002F64D7">
        <w:rPr>
          <w:lang w:eastAsia="en-GB"/>
        </w:rPr>
        <w:t xml:space="preserve"> difference between the serving and the neighbour cell</w:t>
      </w:r>
      <w:r w:rsidR="008809D2">
        <w:rPr>
          <w:lang w:eastAsia="en-GB"/>
        </w:rPr>
        <w:t xml:space="preserve"> of the DTX/DRX pattern</w:t>
      </w:r>
      <w:r w:rsidR="002F64D7">
        <w:rPr>
          <w:lang w:eastAsia="en-GB"/>
        </w:rPr>
        <w:t>. For a cells handled by the same satellite, the UE could assume the pattern timing are aligned but it does not correspond to the general case.</w:t>
      </w:r>
    </w:p>
    <w:p w14:paraId="181E4C2E" w14:textId="528867EC" w:rsidR="002F64D7" w:rsidRDefault="002F64D7" w:rsidP="00DC7187">
      <w:pPr>
        <w:rPr>
          <w:b/>
          <w:lang w:eastAsia="en-GB"/>
        </w:rPr>
      </w:pPr>
      <w:r>
        <w:rPr>
          <w:b/>
          <w:lang w:eastAsia="en-GB"/>
        </w:rPr>
        <w:t>Observation 5</w:t>
      </w:r>
      <w:r>
        <w:rPr>
          <w:b/>
          <w:lang w:eastAsia="en-GB"/>
        </w:rPr>
        <w:tab/>
        <w:t>The DTX/DRX pattern of the neighbour cell indicated by the serving cell should have a difference timing</w:t>
      </w:r>
    </w:p>
    <w:p w14:paraId="03D5DB8A" w14:textId="77777777" w:rsidR="002F64D7" w:rsidRDefault="002F64D7" w:rsidP="00DC7187">
      <w:pPr>
        <w:rPr>
          <w:b/>
          <w:lang w:eastAsia="en-GB"/>
        </w:rPr>
      </w:pPr>
      <w:r>
        <w:rPr>
          <w:b/>
          <w:lang w:eastAsia="en-GB"/>
        </w:rPr>
        <w:t>Proposal 9</w:t>
      </w:r>
      <w:r>
        <w:rPr>
          <w:b/>
          <w:lang w:eastAsia="en-GB"/>
        </w:rPr>
        <w:tab/>
      </w:r>
      <w:r>
        <w:rPr>
          <w:b/>
          <w:lang w:eastAsia="en-GB"/>
        </w:rPr>
        <w:tab/>
        <w:t>If the DTX/DRX pattern of the neighbour cell is indicated in the service cell, RAN2 discusses how the DTX/DRX pattern timing is also indicated to allow the user to know when the neighbour cell is expected to be turn on</w:t>
      </w:r>
    </w:p>
    <w:p w14:paraId="5607B78D" w14:textId="6DFA0E5A" w:rsidR="002F64D7" w:rsidRDefault="00D637ED" w:rsidP="00DC7187">
      <w:pPr>
        <w:rPr>
          <w:lang w:eastAsia="en-GB"/>
        </w:rPr>
      </w:pPr>
      <w:r>
        <w:rPr>
          <w:lang w:eastAsia="en-GB"/>
        </w:rPr>
        <w:t xml:space="preserve">The handover should occur when the target cell is on, especially when configured with RACH. </w:t>
      </w:r>
      <w:r w:rsidR="009A7842">
        <w:rPr>
          <w:lang w:eastAsia="en-GB"/>
        </w:rPr>
        <w:t>The HO can be configured with a time and the UE will trigger measurements for a cell (re-)selection. The same is applied for Conditional handover, location or time-based. For the RACH-less intra and inter-gNB handover, the re-synchronization to the target cell could occur when the DTX/DRX is active, leading to a RLF. The RACH-less could be ineffective if the UE is not configured with the DTX/DRX pattern of the target cell.</w:t>
      </w:r>
    </w:p>
    <w:p w14:paraId="2D0575E7" w14:textId="14C3EA4A" w:rsidR="009A7842" w:rsidRPr="009A7842" w:rsidRDefault="009A7842" w:rsidP="00DC7187">
      <w:pPr>
        <w:rPr>
          <w:b/>
          <w:lang w:eastAsia="en-GB"/>
        </w:rPr>
      </w:pPr>
      <w:r>
        <w:rPr>
          <w:b/>
          <w:lang w:eastAsia="en-GB"/>
        </w:rPr>
        <w:t>Proposal 10</w:t>
      </w:r>
      <w:r>
        <w:rPr>
          <w:b/>
          <w:lang w:eastAsia="en-GB"/>
        </w:rPr>
        <w:tab/>
      </w:r>
      <w:r>
        <w:rPr>
          <w:b/>
          <w:lang w:eastAsia="en-GB"/>
        </w:rPr>
        <w:tab/>
        <w:t>RAN2 discuss</w:t>
      </w:r>
      <w:r w:rsidR="00D12E35">
        <w:rPr>
          <w:b/>
          <w:lang w:eastAsia="en-GB"/>
        </w:rPr>
        <w:t>es</w:t>
      </w:r>
      <w:r>
        <w:rPr>
          <w:b/>
          <w:lang w:eastAsia="en-GB"/>
        </w:rPr>
        <w:t xml:space="preserve"> the impacts of the DTX/DRX on mobility mechanism defined in previous release for NTN, e.g. Time and location-based CHO and RACH-less</w:t>
      </w:r>
    </w:p>
    <w:p w14:paraId="373EC75E" w14:textId="5DA9FE89" w:rsidR="00DC7187" w:rsidRPr="002B7730" w:rsidRDefault="00DC7187" w:rsidP="00DC7187">
      <w:pPr>
        <w:rPr>
          <w:lang w:eastAsia="en-GB"/>
        </w:rPr>
      </w:pPr>
    </w:p>
    <w:p w14:paraId="35AABC06" w14:textId="77777777" w:rsidR="002B7730" w:rsidRPr="00264B7E" w:rsidRDefault="002B7730" w:rsidP="002B7730">
      <w:pPr>
        <w:jc w:val="center"/>
      </w:pPr>
    </w:p>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7E08B161" w14:textId="134D46B4" w:rsidR="008E065E" w:rsidRDefault="008E065E" w:rsidP="008E065E">
      <w:pPr>
        <w:pStyle w:val="BodyText"/>
        <w:rPr>
          <w:b/>
          <w:bCs/>
        </w:rPr>
      </w:pPr>
      <w:r w:rsidRPr="00264B7E">
        <w:t xml:space="preserve">In </w:t>
      </w:r>
      <w:r w:rsidR="007729A2" w:rsidRPr="00264B7E">
        <w:t xml:space="preserve">the previous </w:t>
      </w:r>
      <w:r w:rsidRPr="00264B7E">
        <w:t>section</w:t>
      </w:r>
      <w:r w:rsidR="007729A2" w:rsidRPr="00264B7E">
        <w:t>s</w:t>
      </w:r>
      <w:r w:rsidRPr="00264B7E">
        <w:t xml:space="preserve"> we made the following observations</w:t>
      </w:r>
      <w:r w:rsidR="0033090B">
        <w:t xml:space="preserve"> and proposals</w:t>
      </w:r>
      <w:r w:rsidRPr="00264B7E">
        <w:t>:</w:t>
      </w:r>
    </w:p>
    <w:p w14:paraId="019D623B" w14:textId="1AB0921D" w:rsidR="008E065E" w:rsidRDefault="004868A8" w:rsidP="008E065E">
      <w:pPr>
        <w:rPr>
          <w:bCs/>
          <w:i/>
        </w:rPr>
      </w:pPr>
      <w:r>
        <w:rPr>
          <w:bCs/>
          <w:i/>
        </w:rPr>
        <w:t>&lt;SSB periodicity&gt;</w:t>
      </w:r>
    </w:p>
    <w:p w14:paraId="6169A371" w14:textId="6B1BE85A" w:rsidR="004868A8" w:rsidRDefault="004868A8" w:rsidP="004868A8">
      <w:pPr>
        <w:spacing w:after="60"/>
        <w:rPr>
          <w:b/>
          <w:lang w:eastAsia="en-GB"/>
        </w:rPr>
      </w:pPr>
      <w:r w:rsidRPr="004868A8">
        <w:rPr>
          <w:b/>
          <w:lang w:eastAsia="en-GB"/>
        </w:rPr>
        <w:t>Observation 1</w:t>
      </w:r>
      <w:r w:rsidRPr="004868A8">
        <w:rPr>
          <w:b/>
          <w:lang w:eastAsia="en-GB"/>
        </w:rPr>
        <w:tab/>
        <w:t>Based on RAN1#118bis agreement, the maximum default value of SSB periodicity of the additional default value (apart from the existing 20ms value) is at least 160ms. Therefore, cell supporting initial access could have PBCH period</w:t>
      </w:r>
      <w:r w:rsidRPr="00AB557F">
        <w:rPr>
          <w:b/>
          <w:lang w:eastAsia="en-GB"/>
        </w:rPr>
        <w:t>s of 5, 10, 20, 40, 80 or 160ms</w:t>
      </w:r>
    </w:p>
    <w:p w14:paraId="3070B873" w14:textId="77777777" w:rsidR="004868A8" w:rsidRPr="004868A8" w:rsidRDefault="004868A8" w:rsidP="004868A8">
      <w:pPr>
        <w:rPr>
          <w:b/>
          <w:lang w:eastAsia="en-GB"/>
        </w:rPr>
      </w:pPr>
      <w:r w:rsidRPr="00AB557F">
        <w:rPr>
          <w:b/>
          <w:lang w:eastAsia="en-GB"/>
        </w:rPr>
        <w:t>Proposal 1</w:t>
      </w:r>
      <w:r w:rsidRPr="00AB557F">
        <w:rPr>
          <w:b/>
          <w:lang w:eastAsia="en-GB"/>
        </w:rPr>
        <w:tab/>
      </w:r>
      <w:r>
        <w:rPr>
          <w:b/>
          <w:lang w:eastAsia="en-GB"/>
        </w:rPr>
        <w:tab/>
      </w:r>
      <w:r w:rsidRPr="004868A8">
        <w:rPr>
          <w:b/>
          <w:lang w:eastAsia="en-GB"/>
        </w:rPr>
        <w:t xml:space="preserve">Do not extend the SSB periodicity beyond </w:t>
      </w:r>
      <w:r w:rsidRPr="00AB557F">
        <w:rPr>
          <w:b/>
          <w:lang w:eastAsia="en-GB"/>
        </w:rPr>
        <w:t>the established value of 160ms</w:t>
      </w:r>
    </w:p>
    <w:p w14:paraId="6F60D99C" w14:textId="77777777" w:rsidR="004868A8" w:rsidRPr="0071025B" w:rsidRDefault="004868A8" w:rsidP="004868A8">
      <w:pPr>
        <w:rPr>
          <w:b/>
          <w:lang w:eastAsia="en-GB"/>
        </w:rPr>
      </w:pPr>
      <w:r>
        <w:rPr>
          <w:b/>
          <w:lang w:eastAsia="en-GB"/>
        </w:rPr>
        <w:t>Proposal 2</w:t>
      </w:r>
      <w:r>
        <w:rPr>
          <w:b/>
          <w:lang w:eastAsia="en-GB"/>
        </w:rPr>
        <w:tab/>
      </w:r>
      <w:r>
        <w:rPr>
          <w:b/>
          <w:lang w:eastAsia="en-GB"/>
        </w:rPr>
        <w:tab/>
        <w:t>The UE can deduces the cell support Downlink Coverage enhancement when the detected SSB periodicity is larger than 20 ms</w:t>
      </w:r>
    </w:p>
    <w:p w14:paraId="2B300B0D" w14:textId="77777777" w:rsidR="004868A8" w:rsidRDefault="004868A8" w:rsidP="004868A8">
      <w:pPr>
        <w:rPr>
          <w:b/>
          <w:lang w:eastAsia="en-GB"/>
        </w:rPr>
      </w:pPr>
      <w:r>
        <w:rPr>
          <w:b/>
          <w:lang w:eastAsia="en-GB"/>
        </w:rPr>
        <w:t>Proposal 3</w:t>
      </w:r>
      <w:r>
        <w:rPr>
          <w:b/>
          <w:lang w:eastAsia="en-GB"/>
        </w:rPr>
        <w:tab/>
      </w:r>
      <w:r>
        <w:rPr>
          <w:b/>
          <w:lang w:eastAsia="en-GB"/>
        </w:rPr>
        <w:tab/>
        <w:t>Do not introduce a cell barring bit for cell working with extended SSB periodicity</w:t>
      </w:r>
    </w:p>
    <w:p w14:paraId="02E214AB" w14:textId="79A1DC41" w:rsidR="004868A8" w:rsidRPr="004868A8" w:rsidRDefault="004868A8" w:rsidP="008E065E">
      <w:pPr>
        <w:rPr>
          <w:b/>
          <w:lang w:eastAsia="en-GB"/>
        </w:rPr>
      </w:pPr>
      <w:r>
        <w:rPr>
          <w:b/>
          <w:lang w:eastAsia="en-GB"/>
        </w:rPr>
        <w:t>Observation 2</w:t>
      </w:r>
      <w:r>
        <w:rPr>
          <w:b/>
          <w:lang w:eastAsia="en-GB"/>
        </w:rPr>
        <w:tab/>
        <w:t>Legacy UE can operate in a cell working with maximum SSB periodicity up to 160ms</w:t>
      </w:r>
    </w:p>
    <w:p w14:paraId="3A759C62" w14:textId="6FF6E68C" w:rsidR="004868A8" w:rsidRDefault="004868A8" w:rsidP="008E065E">
      <w:pPr>
        <w:rPr>
          <w:bCs/>
          <w:i/>
        </w:rPr>
      </w:pPr>
      <w:r>
        <w:rPr>
          <w:bCs/>
          <w:i/>
        </w:rPr>
        <w:t>&lt;Cell DRX/DTX&gt;</w:t>
      </w:r>
    </w:p>
    <w:p w14:paraId="6976EBA8" w14:textId="77777777" w:rsidR="004868A8" w:rsidRDefault="004868A8" w:rsidP="004868A8">
      <w:pPr>
        <w:rPr>
          <w:b/>
          <w:lang w:eastAsia="en-GB"/>
        </w:rPr>
      </w:pPr>
      <w:r>
        <w:rPr>
          <w:b/>
          <w:lang w:eastAsia="en-GB"/>
        </w:rPr>
        <w:t>Proposal 3</w:t>
      </w:r>
      <w:r>
        <w:rPr>
          <w:b/>
          <w:lang w:eastAsia="en-GB"/>
        </w:rPr>
        <w:tab/>
      </w:r>
      <w:r>
        <w:rPr>
          <w:b/>
          <w:lang w:eastAsia="en-GB"/>
        </w:rPr>
        <w:tab/>
        <w:t>The cell-level DTX/DRX for Rel-18 NES could be re-used to handle system-level beam hoping mechanism for Downlink Coverage enhancement NTN Rel-19</w:t>
      </w:r>
    </w:p>
    <w:p w14:paraId="123B6C78" w14:textId="77777777" w:rsidR="004868A8" w:rsidRPr="0071025B" w:rsidRDefault="004868A8" w:rsidP="004868A8">
      <w:pPr>
        <w:rPr>
          <w:b/>
          <w:lang w:eastAsia="en-GB"/>
        </w:rPr>
      </w:pPr>
      <w:r>
        <w:rPr>
          <w:b/>
          <w:lang w:eastAsia="en-GB"/>
        </w:rPr>
        <w:t>Observation 2</w:t>
      </w:r>
      <w:r>
        <w:rPr>
          <w:b/>
          <w:lang w:eastAsia="en-GB"/>
        </w:rPr>
        <w:tab/>
        <w:t>The SSB pattern should match to the DTX/DRX pattern to avoid SSB transmission during DTX/DRX</w:t>
      </w:r>
    </w:p>
    <w:p w14:paraId="03A5A0D4" w14:textId="77777777" w:rsidR="004868A8" w:rsidRPr="00BC3255" w:rsidRDefault="004868A8" w:rsidP="004868A8">
      <w:pPr>
        <w:rPr>
          <w:b/>
          <w:lang w:eastAsia="en-GB"/>
        </w:rPr>
      </w:pPr>
      <w:r>
        <w:rPr>
          <w:b/>
          <w:lang w:eastAsia="en-GB"/>
        </w:rPr>
        <w:t>Observation 3</w:t>
      </w:r>
      <w:r>
        <w:rPr>
          <w:b/>
          <w:lang w:eastAsia="en-GB"/>
        </w:rPr>
        <w:tab/>
        <w:t>The dwell pattern could not be fixed in time for a given cell, e.g. during a mobility event with Earth-Fixed Cells</w:t>
      </w:r>
    </w:p>
    <w:p w14:paraId="0F9E488B" w14:textId="77777777" w:rsidR="004868A8" w:rsidRDefault="004868A8" w:rsidP="004868A8">
      <w:pPr>
        <w:rPr>
          <w:b/>
          <w:lang w:eastAsia="en-GB"/>
        </w:rPr>
      </w:pPr>
      <w:r>
        <w:rPr>
          <w:b/>
          <w:lang w:eastAsia="en-GB"/>
        </w:rPr>
        <w:t>Proposal 4</w:t>
      </w:r>
      <w:r>
        <w:rPr>
          <w:b/>
          <w:lang w:eastAsia="en-GB"/>
        </w:rPr>
        <w:tab/>
      </w:r>
      <w:r>
        <w:rPr>
          <w:b/>
          <w:lang w:eastAsia="en-GB"/>
        </w:rPr>
        <w:tab/>
        <w:t>The UE is informed of the DRX/DTX pattern quasi-dynamically using existing procedure. FFS if enhancements are necessary to reduce overhead, especially when the NTN beam is turned on/off periodically</w:t>
      </w:r>
    </w:p>
    <w:p w14:paraId="6AA5402A" w14:textId="77777777" w:rsidR="004868A8" w:rsidRDefault="004868A8" w:rsidP="004868A8">
      <w:pPr>
        <w:rPr>
          <w:b/>
          <w:lang w:eastAsia="en-GB"/>
        </w:rPr>
      </w:pPr>
      <w:r>
        <w:rPr>
          <w:b/>
          <w:lang w:eastAsia="en-GB"/>
        </w:rPr>
        <w:t>Observation 4</w:t>
      </w:r>
      <w:r>
        <w:rPr>
          <w:b/>
          <w:lang w:eastAsia="en-GB"/>
        </w:rPr>
        <w:tab/>
        <w:t>UE is not aware of the DTX/DRX pattern at the initial attach</w:t>
      </w:r>
    </w:p>
    <w:p w14:paraId="609B6864" w14:textId="032234B1" w:rsidR="004868A8" w:rsidRDefault="004868A8" w:rsidP="004868A8">
      <w:pPr>
        <w:rPr>
          <w:b/>
          <w:lang w:eastAsia="en-GB"/>
        </w:rPr>
      </w:pPr>
      <w:r>
        <w:rPr>
          <w:b/>
          <w:lang w:eastAsia="en-GB"/>
        </w:rPr>
        <w:t>Proposal 5</w:t>
      </w:r>
      <w:r>
        <w:rPr>
          <w:b/>
          <w:lang w:eastAsia="en-GB"/>
        </w:rPr>
        <w:tab/>
      </w:r>
      <w:r>
        <w:rPr>
          <w:b/>
          <w:lang w:eastAsia="en-GB"/>
        </w:rPr>
        <w:tab/>
        <w:t>RAN2 discusses the possible impacts and necessary enhancements on Random Access procedures when DTX/DRX is configured</w:t>
      </w:r>
    </w:p>
    <w:p w14:paraId="6F42165B" w14:textId="77777777" w:rsidR="004868A8" w:rsidRDefault="004868A8" w:rsidP="004868A8">
      <w:pPr>
        <w:rPr>
          <w:b/>
          <w:lang w:eastAsia="en-GB"/>
        </w:rPr>
      </w:pPr>
      <w:r>
        <w:rPr>
          <w:b/>
          <w:lang w:eastAsia="en-GB"/>
        </w:rPr>
        <w:lastRenderedPageBreak/>
        <w:t>Proposal 6</w:t>
      </w:r>
      <w:r>
        <w:rPr>
          <w:b/>
          <w:lang w:eastAsia="en-GB"/>
        </w:rPr>
        <w:tab/>
      </w:r>
      <w:r>
        <w:rPr>
          <w:b/>
          <w:lang w:eastAsia="en-GB"/>
        </w:rPr>
        <w:tab/>
        <w:t>The connected UE is not required to monitor PDCCH or perform the serving cell during the configured DTX period when activated</w:t>
      </w:r>
    </w:p>
    <w:p w14:paraId="55608E27" w14:textId="77777777" w:rsidR="004868A8" w:rsidRDefault="004868A8" w:rsidP="004868A8">
      <w:pPr>
        <w:rPr>
          <w:b/>
          <w:lang w:eastAsia="en-GB"/>
        </w:rPr>
      </w:pPr>
      <w:r>
        <w:rPr>
          <w:b/>
          <w:lang w:eastAsia="en-GB"/>
        </w:rPr>
        <w:t>Proposal 7</w:t>
      </w:r>
      <w:r>
        <w:rPr>
          <w:b/>
          <w:lang w:eastAsia="en-GB"/>
        </w:rPr>
        <w:tab/>
      </w:r>
      <w:r>
        <w:rPr>
          <w:b/>
          <w:lang w:eastAsia="en-GB"/>
        </w:rPr>
        <w:tab/>
        <w:t>The connected UE should be configured with a C-DRX where the cycle length should be aligned with one or multiple times of the DTX cycle length</w:t>
      </w:r>
    </w:p>
    <w:p w14:paraId="24EA82D0" w14:textId="77777777" w:rsidR="004868A8" w:rsidRPr="008809D2" w:rsidRDefault="004868A8" w:rsidP="004868A8">
      <w:pPr>
        <w:rPr>
          <w:b/>
          <w:lang w:eastAsia="en-GB"/>
        </w:rPr>
      </w:pPr>
      <w:r>
        <w:rPr>
          <w:b/>
          <w:lang w:eastAsia="en-GB"/>
        </w:rPr>
        <w:t>Proposal 8</w:t>
      </w:r>
      <w:r>
        <w:rPr>
          <w:b/>
          <w:lang w:eastAsia="en-GB"/>
        </w:rPr>
        <w:tab/>
      </w:r>
      <w:r>
        <w:rPr>
          <w:b/>
          <w:lang w:eastAsia="en-GB"/>
        </w:rPr>
        <w:tab/>
        <w:t xml:space="preserve">The UEs are informed of the DTX/DRX pattern of the neighbour cell. FFS if this indicated in SIB19 </w:t>
      </w:r>
      <w:r w:rsidRPr="006B5F98">
        <w:rPr>
          <w:b/>
          <w:i/>
          <w:lang w:eastAsia="en-GB"/>
        </w:rPr>
        <w:t>NTN-NeighCellConfig</w:t>
      </w:r>
      <w:r>
        <w:rPr>
          <w:b/>
          <w:lang w:eastAsia="en-GB"/>
        </w:rPr>
        <w:t xml:space="preserve"> or by other means</w:t>
      </w:r>
    </w:p>
    <w:p w14:paraId="6FB2277D" w14:textId="77777777" w:rsidR="004868A8" w:rsidRDefault="004868A8" w:rsidP="004868A8">
      <w:pPr>
        <w:rPr>
          <w:b/>
          <w:lang w:eastAsia="en-GB"/>
        </w:rPr>
      </w:pPr>
      <w:r>
        <w:rPr>
          <w:b/>
          <w:lang w:eastAsia="en-GB"/>
        </w:rPr>
        <w:t>Observation 5</w:t>
      </w:r>
      <w:r>
        <w:rPr>
          <w:b/>
          <w:lang w:eastAsia="en-GB"/>
        </w:rPr>
        <w:tab/>
        <w:t>The DTX/DRX pattern of the neighbour cell indicated by the serving cell should have a difference timing</w:t>
      </w:r>
    </w:p>
    <w:p w14:paraId="20A1DA40" w14:textId="77777777" w:rsidR="004868A8" w:rsidRDefault="004868A8" w:rsidP="004868A8">
      <w:pPr>
        <w:rPr>
          <w:b/>
          <w:lang w:eastAsia="en-GB"/>
        </w:rPr>
      </w:pPr>
      <w:r>
        <w:rPr>
          <w:b/>
          <w:lang w:eastAsia="en-GB"/>
        </w:rPr>
        <w:t>Proposal 9</w:t>
      </w:r>
      <w:r>
        <w:rPr>
          <w:b/>
          <w:lang w:eastAsia="en-GB"/>
        </w:rPr>
        <w:tab/>
      </w:r>
      <w:r>
        <w:rPr>
          <w:b/>
          <w:lang w:eastAsia="en-GB"/>
        </w:rPr>
        <w:tab/>
        <w:t>If the DTX/DRX pattern of the neighbour cell is indicated in the service cell, RAN2 discusses how the DTX/DRX pattern timing is also indicated to allow the user to know when the neighbour cell is expected to be turn on</w:t>
      </w:r>
    </w:p>
    <w:p w14:paraId="4AE45A02" w14:textId="77777777" w:rsidR="004868A8" w:rsidRPr="009A7842" w:rsidRDefault="004868A8" w:rsidP="004868A8">
      <w:pPr>
        <w:rPr>
          <w:b/>
          <w:lang w:eastAsia="en-GB"/>
        </w:rPr>
      </w:pPr>
      <w:r>
        <w:rPr>
          <w:b/>
          <w:lang w:eastAsia="en-GB"/>
        </w:rPr>
        <w:t>Proposal 10</w:t>
      </w:r>
      <w:r>
        <w:rPr>
          <w:b/>
          <w:lang w:eastAsia="en-GB"/>
        </w:rPr>
        <w:tab/>
      </w:r>
      <w:r>
        <w:rPr>
          <w:b/>
          <w:lang w:eastAsia="en-GB"/>
        </w:rPr>
        <w:tab/>
        <w:t>RAN2 discusses the impacts of the DTX/DRX on mobility mechanism defined in previous release for NTN, e.g. Time and location-based CHO and RACH-less</w:t>
      </w:r>
    </w:p>
    <w:p w14:paraId="6DF78A1C" w14:textId="6A53E42F" w:rsidR="004868A8" w:rsidRPr="004868A8" w:rsidRDefault="004868A8" w:rsidP="008E065E">
      <w:pPr>
        <w:rPr>
          <w:bCs/>
          <w:i/>
        </w:rPr>
      </w:pPr>
    </w:p>
    <w:p w14:paraId="7BD5CFC3" w14:textId="77777777" w:rsidR="00F507D1" w:rsidRPr="00264B7E" w:rsidRDefault="00F507D1" w:rsidP="00CE0424">
      <w:pPr>
        <w:pStyle w:val="Heading1"/>
        <w:rPr>
          <w:lang w:val="en-US"/>
        </w:rPr>
      </w:pPr>
      <w:bookmarkStart w:id="4" w:name="_In-sequence_SDU_delivery"/>
      <w:bookmarkEnd w:id="4"/>
      <w:r w:rsidRPr="00264B7E">
        <w:rPr>
          <w:lang w:val="en-US"/>
        </w:rPr>
        <w:t>References</w:t>
      </w:r>
    </w:p>
    <w:p w14:paraId="20A72A3C" w14:textId="7EEA9294" w:rsidR="00E16231" w:rsidRPr="00A15140" w:rsidRDefault="006F2034" w:rsidP="006B5F98">
      <w:pPr>
        <w:pStyle w:val="Reference"/>
      </w:pPr>
      <w:bookmarkStart w:id="5" w:name="_Ref174151459"/>
      <w:bookmarkStart w:id="6" w:name="_Ref189809556"/>
      <w:r w:rsidRPr="00264B7E">
        <w:t>R</w:t>
      </w:r>
      <w:r>
        <w:t>P-241789</w:t>
      </w:r>
      <w:r w:rsidRPr="00264B7E">
        <w:t xml:space="preserve">, </w:t>
      </w:r>
      <w:r>
        <w:t>Revised</w:t>
      </w:r>
      <w:r w:rsidRPr="00264B7E">
        <w:t xml:space="preserve"> WID: Non-Terrestrial Networks (NTN) for NR Phase 3, </w:t>
      </w:r>
      <w:r>
        <w:t>RAN#105, 2024-09</w:t>
      </w:r>
      <w:r w:rsidRPr="00264B7E">
        <w:t xml:space="preserve">, </w:t>
      </w:r>
      <w:r>
        <w:t>Melbourne, AU</w:t>
      </w:r>
      <w:r w:rsidRPr="00264B7E">
        <w:t>.</w:t>
      </w:r>
      <w:bookmarkEnd w:id="5"/>
      <w:bookmarkEnd w:id="6"/>
    </w:p>
    <w:sectPr w:rsidR="00E16231" w:rsidRPr="00A15140"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19FF0" w14:textId="77777777" w:rsidR="00846BE6" w:rsidRDefault="00846BE6">
      <w:r>
        <w:separator/>
      </w:r>
    </w:p>
  </w:endnote>
  <w:endnote w:type="continuationSeparator" w:id="0">
    <w:p w14:paraId="20ADF622" w14:textId="77777777" w:rsidR="00846BE6" w:rsidRDefault="00846BE6">
      <w:r>
        <w:continuationSeparator/>
      </w:r>
    </w:p>
  </w:endnote>
  <w:endnote w:type="continuationNotice" w:id="1">
    <w:p w14:paraId="39075883" w14:textId="77777777" w:rsidR="00846BE6" w:rsidRDefault="00846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2A14EE60" w:rsidR="00B422A9" w:rsidRDefault="00B422A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38E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38E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84AA1" w14:textId="77777777" w:rsidR="00846BE6" w:rsidRDefault="00846BE6">
      <w:r>
        <w:separator/>
      </w:r>
    </w:p>
  </w:footnote>
  <w:footnote w:type="continuationSeparator" w:id="0">
    <w:p w14:paraId="43978D17" w14:textId="77777777" w:rsidR="00846BE6" w:rsidRDefault="00846BE6">
      <w:r>
        <w:continuationSeparator/>
      </w:r>
    </w:p>
  </w:footnote>
  <w:footnote w:type="continuationNotice" w:id="1">
    <w:p w14:paraId="04D45007" w14:textId="77777777" w:rsidR="00846BE6" w:rsidRDefault="00846BE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B422A9" w:rsidRDefault="00B422A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019EF"/>
    <w:multiLevelType w:val="hybridMultilevel"/>
    <w:tmpl w:val="9E908CC4"/>
    <w:lvl w:ilvl="0" w:tplc="3B1048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6957E2"/>
    <w:multiLevelType w:val="hybridMultilevel"/>
    <w:tmpl w:val="BE80A608"/>
    <w:lvl w:ilvl="0" w:tplc="6B02C3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A6466E5"/>
    <w:multiLevelType w:val="hybridMultilevel"/>
    <w:tmpl w:val="A47A5CEA"/>
    <w:lvl w:ilvl="0" w:tplc="98F45A2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32595F"/>
    <w:multiLevelType w:val="hybridMultilevel"/>
    <w:tmpl w:val="38B8662E"/>
    <w:lvl w:ilvl="0" w:tplc="3558F616">
      <w:numFmt w:val="bullet"/>
      <w:lvlText w:val="-"/>
      <w:lvlJc w:val="left"/>
      <w:pPr>
        <w:ind w:left="720" w:hanging="360"/>
      </w:pPr>
      <w:rPr>
        <w:rFonts w:ascii="Times New Roman" w:eastAsia="Batang"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BDB07E96"/>
    <w:lvl w:ilvl="0" w:tplc="A7D2A78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01505E"/>
    <w:multiLevelType w:val="hybridMultilevel"/>
    <w:tmpl w:val="F4BA230E"/>
    <w:lvl w:ilvl="0" w:tplc="49188F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7"/>
  </w:num>
  <w:num w:numId="3">
    <w:abstractNumId w:val="22"/>
  </w:num>
  <w:num w:numId="4">
    <w:abstractNumId w:val="24"/>
  </w:num>
  <w:num w:numId="5">
    <w:abstractNumId w:val="18"/>
  </w:num>
  <w:num w:numId="6">
    <w:abstractNumId w:val="26"/>
  </w:num>
  <w:num w:numId="7">
    <w:abstractNumId w:val="31"/>
  </w:num>
  <w:num w:numId="8">
    <w:abstractNumId w:val="19"/>
  </w:num>
  <w:num w:numId="9">
    <w:abstractNumId w:val="15"/>
  </w:num>
  <w:num w:numId="10">
    <w:abstractNumId w:val="2"/>
  </w:num>
  <w:num w:numId="11">
    <w:abstractNumId w:val="1"/>
  </w:num>
  <w:num w:numId="12">
    <w:abstractNumId w:val="0"/>
  </w:num>
  <w:num w:numId="13">
    <w:abstractNumId w:val="29"/>
  </w:num>
  <w:num w:numId="14">
    <w:abstractNumId w:val="30"/>
  </w:num>
  <w:num w:numId="15">
    <w:abstractNumId w:val="25"/>
  </w:num>
  <w:num w:numId="16">
    <w:abstractNumId w:val="34"/>
  </w:num>
  <w:num w:numId="17">
    <w:abstractNumId w:val="10"/>
  </w:num>
  <w:num w:numId="18">
    <w:abstractNumId w:val="12"/>
  </w:num>
  <w:num w:numId="19">
    <w:abstractNumId w:val="6"/>
  </w:num>
  <w:num w:numId="20">
    <w:abstractNumId w:val="36"/>
  </w:num>
  <w:num w:numId="21">
    <w:abstractNumId w:val="21"/>
  </w:num>
  <w:num w:numId="22">
    <w:abstractNumId w:val="35"/>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8"/>
  </w:num>
  <w:num w:numId="25">
    <w:abstractNumId w:val="32"/>
  </w:num>
  <w:num w:numId="26">
    <w:abstractNumId w:val="13"/>
  </w:num>
  <w:num w:numId="27">
    <w:abstractNumId w:val="17"/>
  </w:num>
  <w:num w:numId="28">
    <w:abstractNumId w:val="7"/>
  </w:num>
  <w:num w:numId="29">
    <w:abstractNumId w:val="5"/>
  </w:num>
  <w:num w:numId="30">
    <w:abstractNumId w:val="23"/>
  </w:num>
  <w:num w:numId="31">
    <w:abstractNumId w:val="8"/>
  </w:num>
  <w:num w:numId="32">
    <w:abstractNumId w:val="38"/>
  </w:num>
  <w:num w:numId="33">
    <w:abstractNumId w:val="37"/>
  </w:num>
  <w:num w:numId="34">
    <w:abstractNumId w:val="16"/>
  </w:num>
  <w:num w:numId="35">
    <w:abstractNumId w:val="29"/>
    <w:lvlOverride w:ilvl="0">
      <w:startOverride w:val="1"/>
    </w:lvlOverride>
  </w:num>
  <w:num w:numId="36">
    <w:abstractNumId w:val="22"/>
    <w:lvlOverride w:ilvl="0">
      <w:startOverride w:val="1"/>
    </w:lvlOverride>
  </w:num>
  <w:num w:numId="37">
    <w:abstractNumId w:val="22"/>
  </w:num>
  <w:num w:numId="38">
    <w:abstractNumId w:val="22"/>
    <w:lvlOverride w:ilvl="0">
      <w:startOverride w:val="1"/>
    </w:lvlOverride>
  </w:num>
  <w:num w:numId="39">
    <w:abstractNumId w:val="22"/>
  </w:num>
  <w:num w:numId="40">
    <w:abstractNumId w:val="29"/>
    <w:lvlOverride w:ilvl="0">
      <w:startOverride w:val="1"/>
    </w:lvlOverride>
  </w:num>
  <w:num w:numId="41">
    <w:abstractNumId w:val="22"/>
    <w:lvlOverride w:ilvl="0">
      <w:startOverride w:val="1"/>
    </w:lvlOverride>
  </w:num>
  <w:num w:numId="42">
    <w:abstractNumId w:val="14"/>
  </w:num>
  <w:num w:numId="43">
    <w:abstractNumId w:val="9"/>
  </w:num>
  <w:num w:numId="44">
    <w:abstractNumId w:val="11"/>
  </w:num>
  <w:num w:numId="45">
    <w:abstractNumId w:val="33"/>
  </w:num>
  <w:num w:numId="46">
    <w:abstractNumId w:val="20"/>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s-ES" w:vendorID="64" w:dllVersion="131078" w:nlCheck="1" w:checkStyle="0"/>
  <w:activeWritingStyle w:appName="MSWord" w:lang="it-IT"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2A37"/>
    <w:rsid w:val="0000564C"/>
    <w:rsid w:val="00006446"/>
    <w:rsid w:val="00006896"/>
    <w:rsid w:val="00007CDC"/>
    <w:rsid w:val="00007D48"/>
    <w:rsid w:val="00011B28"/>
    <w:rsid w:val="00011E3E"/>
    <w:rsid w:val="00015D15"/>
    <w:rsid w:val="00016632"/>
    <w:rsid w:val="0002564D"/>
    <w:rsid w:val="00025ECA"/>
    <w:rsid w:val="000325B8"/>
    <w:rsid w:val="00034C15"/>
    <w:rsid w:val="00036BA1"/>
    <w:rsid w:val="00036FEA"/>
    <w:rsid w:val="000422E2"/>
    <w:rsid w:val="00042F22"/>
    <w:rsid w:val="000444EF"/>
    <w:rsid w:val="00051E0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C82"/>
    <w:rsid w:val="00094872"/>
    <w:rsid w:val="0009510F"/>
    <w:rsid w:val="000A1B7B"/>
    <w:rsid w:val="000A56F2"/>
    <w:rsid w:val="000B2719"/>
    <w:rsid w:val="000B3A8F"/>
    <w:rsid w:val="000B4AB9"/>
    <w:rsid w:val="000B58C3"/>
    <w:rsid w:val="000B61E9"/>
    <w:rsid w:val="000C165A"/>
    <w:rsid w:val="000C2E19"/>
    <w:rsid w:val="000C4FC0"/>
    <w:rsid w:val="000D0D07"/>
    <w:rsid w:val="000D4797"/>
    <w:rsid w:val="000D5103"/>
    <w:rsid w:val="000E0527"/>
    <w:rsid w:val="000E1E92"/>
    <w:rsid w:val="000F06D6"/>
    <w:rsid w:val="000F0EB1"/>
    <w:rsid w:val="000F1106"/>
    <w:rsid w:val="000F3BE9"/>
    <w:rsid w:val="000F3F6C"/>
    <w:rsid w:val="000F6DF3"/>
    <w:rsid w:val="001005FF"/>
    <w:rsid w:val="001037C6"/>
    <w:rsid w:val="001062FB"/>
    <w:rsid w:val="001063E6"/>
    <w:rsid w:val="00113CF4"/>
    <w:rsid w:val="001153EA"/>
    <w:rsid w:val="00115643"/>
    <w:rsid w:val="00116765"/>
    <w:rsid w:val="001219F5"/>
    <w:rsid w:val="00121A20"/>
    <w:rsid w:val="0012377F"/>
    <w:rsid w:val="00124314"/>
    <w:rsid w:val="00125910"/>
    <w:rsid w:val="00126B4A"/>
    <w:rsid w:val="00132FD0"/>
    <w:rsid w:val="001344C0"/>
    <w:rsid w:val="001346FA"/>
    <w:rsid w:val="00134E40"/>
    <w:rsid w:val="00135252"/>
    <w:rsid w:val="00137AB5"/>
    <w:rsid w:val="00137F0B"/>
    <w:rsid w:val="00140D59"/>
    <w:rsid w:val="001413FF"/>
    <w:rsid w:val="00151E23"/>
    <w:rsid w:val="001526E0"/>
    <w:rsid w:val="001551B5"/>
    <w:rsid w:val="00160157"/>
    <w:rsid w:val="001659C1"/>
    <w:rsid w:val="00173A8E"/>
    <w:rsid w:val="0017502C"/>
    <w:rsid w:val="0017647F"/>
    <w:rsid w:val="0018143F"/>
    <w:rsid w:val="00181FF8"/>
    <w:rsid w:val="00190AC1"/>
    <w:rsid w:val="0019341A"/>
    <w:rsid w:val="00197DF9"/>
    <w:rsid w:val="001A1165"/>
    <w:rsid w:val="001A1987"/>
    <w:rsid w:val="001A2564"/>
    <w:rsid w:val="001A6173"/>
    <w:rsid w:val="001A6CBA"/>
    <w:rsid w:val="001A7E92"/>
    <w:rsid w:val="001B0D97"/>
    <w:rsid w:val="001B5A5D"/>
    <w:rsid w:val="001C1CE5"/>
    <w:rsid w:val="001C3D2A"/>
    <w:rsid w:val="001C5CB8"/>
    <w:rsid w:val="001D51BA"/>
    <w:rsid w:val="001D53E7"/>
    <w:rsid w:val="001D6342"/>
    <w:rsid w:val="001D6C45"/>
    <w:rsid w:val="001D6D53"/>
    <w:rsid w:val="001E58E2"/>
    <w:rsid w:val="001E7AED"/>
    <w:rsid w:val="001F3916"/>
    <w:rsid w:val="001F54C5"/>
    <w:rsid w:val="001F662C"/>
    <w:rsid w:val="001F7074"/>
    <w:rsid w:val="00200490"/>
    <w:rsid w:val="0020082D"/>
    <w:rsid w:val="00201219"/>
    <w:rsid w:val="00201F3A"/>
    <w:rsid w:val="00203F96"/>
    <w:rsid w:val="0020497F"/>
    <w:rsid w:val="0020582B"/>
    <w:rsid w:val="002069B2"/>
    <w:rsid w:val="00207E9A"/>
    <w:rsid w:val="00207FA3"/>
    <w:rsid w:val="00214DA8"/>
    <w:rsid w:val="00215423"/>
    <w:rsid w:val="002158FA"/>
    <w:rsid w:val="00220600"/>
    <w:rsid w:val="002224DB"/>
    <w:rsid w:val="00223FCB"/>
    <w:rsid w:val="002252C3"/>
    <w:rsid w:val="00225C54"/>
    <w:rsid w:val="00230765"/>
    <w:rsid w:val="00230D18"/>
    <w:rsid w:val="002319E4"/>
    <w:rsid w:val="00233F1E"/>
    <w:rsid w:val="00235632"/>
    <w:rsid w:val="00235872"/>
    <w:rsid w:val="00241559"/>
    <w:rsid w:val="002435B3"/>
    <w:rsid w:val="00244E80"/>
    <w:rsid w:val="002458EB"/>
    <w:rsid w:val="002500C8"/>
    <w:rsid w:val="00257543"/>
    <w:rsid w:val="002617E7"/>
    <w:rsid w:val="00264228"/>
    <w:rsid w:val="00264334"/>
    <w:rsid w:val="0026473E"/>
    <w:rsid w:val="00264B7E"/>
    <w:rsid w:val="00266214"/>
    <w:rsid w:val="00267C83"/>
    <w:rsid w:val="0027144F"/>
    <w:rsid w:val="00271813"/>
    <w:rsid w:val="00271F3A"/>
    <w:rsid w:val="00273278"/>
    <w:rsid w:val="002737F4"/>
    <w:rsid w:val="002805F5"/>
    <w:rsid w:val="00280751"/>
    <w:rsid w:val="00280D85"/>
    <w:rsid w:val="002819AA"/>
    <w:rsid w:val="0028280A"/>
    <w:rsid w:val="002841A6"/>
    <w:rsid w:val="00286ACD"/>
    <w:rsid w:val="00287838"/>
    <w:rsid w:val="002907B5"/>
    <w:rsid w:val="00292A82"/>
    <w:rsid w:val="00292EB7"/>
    <w:rsid w:val="0029504F"/>
    <w:rsid w:val="00296227"/>
    <w:rsid w:val="00296F44"/>
    <w:rsid w:val="0029777D"/>
    <w:rsid w:val="00297C72"/>
    <w:rsid w:val="002A055E"/>
    <w:rsid w:val="002A1D4E"/>
    <w:rsid w:val="002A2869"/>
    <w:rsid w:val="002B24D6"/>
    <w:rsid w:val="002B3379"/>
    <w:rsid w:val="002B37A2"/>
    <w:rsid w:val="002B7730"/>
    <w:rsid w:val="002C41E6"/>
    <w:rsid w:val="002C66F9"/>
    <w:rsid w:val="002D071A"/>
    <w:rsid w:val="002D34B2"/>
    <w:rsid w:val="002D48B0"/>
    <w:rsid w:val="002D5B37"/>
    <w:rsid w:val="002D7637"/>
    <w:rsid w:val="002E17F2"/>
    <w:rsid w:val="002E550A"/>
    <w:rsid w:val="002E5726"/>
    <w:rsid w:val="002E7CAE"/>
    <w:rsid w:val="002F2771"/>
    <w:rsid w:val="002F37A9"/>
    <w:rsid w:val="002F508B"/>
    <w:rsid w:val="002F64D7"/>
    <w:rsid w:val="002F7E53"/>
    <w:rsid w:val="00301CE6"/>
    <w:rsid w:val="0030256B"/>
    <w:rsid w:val="0030501F"/>
    <w:rsid w:val="00305C4E"/>
    <w:rsid w:val="00307BA1"/>
    <w:rsid w:val="00311702"/>
    <w:rsid w:val="00311E82"/>
    <w:rsid w:val="00313FD6"/>
    <w:rsid w:val="003143BD"/>
    <w:rsid w:val="00315363"/>
    <w:rsid w:val="00316DA7"/>
    <w:rsid w:val="003173F5"/>
    <w:rsid w:val="003203ED"/>
    <w:rsid w:val="00322C9F"/>
    <w:rsid w:val="00324D23"/>
    <w:rsid w:val="003267B7"/>
    <w:rsid w:val="0033090B"/>
    <w:rsid w:val="00331751"/>
    <w:rsid w:val="00334066"/>
    <w:rsid w:val="00334579"/>
    <w:rsid w:val="00335858"/>
    <w:rsid w:val="00336BDA"/>
    <w:rsid w:val="00340023"/>
    <w:rsid w:val="00342BD7"/>
    <w:rsid w:val="003450BF"/>
    <w:rsid w:val="00345FE5"/>
    <w:rsid w:val="00346DB5"/>
    <w:rsid w:val="003477B1"/>
    <w:rsid w:val="00355902"/>
    <w:rsid w:val="00357380"/>
    <w:rsid w:val="003602D9"/>
    <w:rsid w:val="003604CE"/>
    <w:rsid w:val="0036138C"/>
    <w:rsid w:val="00370E47"/>
    <w:rsid w:val="0037172B"/>
    <w:rsid w:val="00373D2C"/>
    <w:rsid w:val="003742AC"/>
    <w:rsid w:val="00377553"/>
    <w:rsid w:val="00377CE1"/>
    <w:rsid w:val="0038114C"/>
    <w:rsid w:val="00385BF0"/>
    <w:rsid w:val="00387186"/>
    <w:rsid w:val="003939FF"/>
    <w:rsid w:val="003A11C2"/>
    <w:rsid w:val="003A2223"/>
    <w:rsid w:val="003A2A0F"/>
    <w:rsid w:val="003A45A1"/>
    <w:rsid w:val="003A5B0A"/>
    <w:rsid w:val="003A5B48"/>
    <w:rsid w:val="003A6BAC"/>
    <w:rsid w:val="003A70A4"/>
    <w:rsid w:val="003A7EF3"/>
    <w:rsid w:val="003B159C"/>
    <w:rsid w:val="003B369F"/>
    <w:rsid w:val="003B36A3"/>
    <w:rsid w:val="003B64BB"/>
    <w:rsid w:val="003B7FE5"/>
    <w:rsid w:val="003C02FD"/>
    <w:rsid w:val="003C11C8"/>
    <w:rsid w:val="003C2702"/>
    <w:rsid w:val="003C7806"/>
    <w:rsid w:val="003D109F"/>
    <w:rsid w:val="003D2478"/>
    <w:rsid w:val="003D3C45"/>
    <w:rsid w:val="003D5B1F"/>
    <w:rsid w:val="003E15FA"/>
    <w:rsid w:val="003E3AA3"/>
    <w:rsid w:val="003E55E4"/>
    <w:rsid w:val="003E74E3"/>
    <w:rsid w:val="003F05C7"/>
    <w:rsid w:val="003F2CD4"/>
    <w:rsid w:val="003F6BBE"/>
    <w:rsid w:val="004000E8"/>
    <w:rsid w:val="00400439"/>
    <w:rsid w:val="00402E2B"/>
    <w:rsid w:val="0040512B"/>
    <w:rsid w:val="00405CA5"/>
    <w:rsid w:val="00407CD3"/>
    <w:rsid w:val="00410134"/>
    <w:rsid w:val="00410B72"/>
    <w:rsid w:val="00410F18"/>
    <w:rsid w:val="0041263E"/>
    <w:rsid w:val="00413AAC"/>
    <w:rsid w:val="00413E92"/>
    <w:rsid w:val="00420370"/>
    <w:rsid w:val="00421105"/>
    <w:rsid w:val="00422AA4"/>
    <w:rsid w:val="004242F4"/>
    <w:rsid w:val="00427248"/>
    <w:rsid w:val="0043624B"/>
    <w:rsid w:val="00437447"/>
    <w:rsid w:val="00437D66"/>
    <w:rsid w:val="00441A92"/>
    <w:rsid w:val="004431DC"/>
    <w:rsid w:val="00444F56"/>
    <w:rsid w:val="00446488"/>
    <w:rsid w:val="004517AA"/>
    <w:rsid w:val="00452CAC"/>
    <w:rsid w:val="00452F0C"/>
    <w:rsid w:val="00453D9F"/>
    <w:rsid w:val="00456CFE"/>
    <w:rsid w:val="00457565"/>
    <w:rsid w:val="00457B71"/>
    <w:rsid w:val="004669E2"/>
    <w:rsid w:val="00470C31"/>
    <w:rsid w:val="00471DE0"/>
    <w:rsid w:val="00472B41"/>
    <w:rsid w:val="004734D0"/>
    <w:rsid w:val="0047556B"/>
    <w:rsid w:val="00477768"/>
    <w:rsid w:val="00482004"/>
    <w:rsid w:val="00484500"/>
    <w:rsid w:val="004868A8"/>
    <w:rsid w:val="00492BC5"/>
    <w:rsid w:val="004964F1"/>
    <w:rsid w:val="004A16BC"/>
    <w:rsid w:val="004A2B94"/>
    <w:rsid w:val="004A4B33"/>
    <w:rsid w:val="004A5907"/>
    <w:rsid w:val="004B1D5E"/>
    <w:rsid w:val="004B2559"/>
    <w:rsid w:val="004B49EF"/>
    <w:rsid w:val="004B6F6A"/>
    <w:rsid w:val="004B7C0C"/>
    <w:rsid w:val="004C1151"/>
    <w:rsid w:val="004C3898"/>
    <w:rsid w:val="004C6842"/>
    <w:rsid w:val="004D33CA"/>
    <w:rsid w:val="004D36B1"/>
    <w:rsid w:val="004D7EBD"/>
    <w:rsid w:val="004E2680"/>
    <w:rsid w:val="004E28F9"/>
    <w:rsid w:val="004E462E"/>
    <w:rsid w:val="004E56DC"/>
    <w:rsid w:val="004E76F4"/>
    <w:rsid w:val="004F0B4E"/>
    <w:rsid w:val="004F0B6C"/>
    <w:rsid w:val="004F2078"/>
    <w:rsid w:val="004F4DA3"/>
    <w:rsid w:val="00500F7F"/>
    <w:rsid w:val="00506557"/>
    <w:rsid w:val="0050677A"/>
    <w:rsid w:val="0050778A"/>
    <w:rsid w:val="005108D8"/>
    <w:rsid w:val="005116F9"/>
    <w:rsid w:val="005153A7"/>
    <w:rsid w:val="005219CF"/>
    <w:rsid w:val="00523E8F"/>
    <w:rsid w:val="00526F7F"/>
    <w:rsid w:val="005338C5"/>
    <w:rsid w:val="00534B59"/>
    <w:rsid w:val="0053662A"/>
    <w:rsid w:val="00536759"/>
    <w:rsid w:val="00537C62"/>
    <w:rsid w:val="005442EF"/>
    <w:rsid w:val="00546970"/>
    <w:rsid w:val="00547494"/>
    <w:rsid w:val="00554E19"/>
    <w:rsid w:val="0056121F"/>
    <w:rsid w:val="00562C19"/>
    <w:rsid w:val="00572505"/>
    <w:rsid w:val="005761DC"/>
    <w:rsid w:val="00582809"/>
    <w:rsid w:val="0058798C"/>
    <w:rsid w:val="005900FA"/>
    <w:rsid w:val="005935A4"/>
    <w:rsid w:val="005948C2"/>
    <w:rsid w:val="00595DCA"/>
    <w:rsid w:val="0059779B"/>
    <w:rsid w:val="005A209A"/>
    <w:rsid w:val="005A4D02"/>
    <w:rsid w:val="005A662D"/>
    <w:rsid w:val="005B1409"/>
    <w:rsid w:val="005B35D7"/>
    <w:rsid w:val="005B392A"/>
    <w:rsid w:val="005B3AA3"/>
    <w:rsid w:val="005B6F83"/>
    <w:rsid w:val="005C74FB"/>
    <w:rsid w:val="005D0E32"/>
    <w:rsid w:val="005D1602"/>
    <w:rsid w:val="005D2381"/>
    <w:rsid w:val="005E385F"/>
    <w:rsid w:val="005E5B81"/>
    <w:rsid w:val="005F2CB1"/>
    <w:rsid w:val="005F3025"/>
    <w:rsid w:val="005F618C"/>
    <w:rsid w:val="005F70BD"/>
    <w:rsid w:val="00600705"/>
    <w:rsid w:val="0060283C"/>
    <w:rsid w:val="00604F14"/>
    <w:rsid w:val="00611B83"/>
    <w:rsid w:val="00613257"/>
    <w:rsid w:val="00620A71"/>
    <w:rsid w:val="00620D80"/>
    <w:rsid w:val="006213FD"/>
    <w:rsid w:val="006234A6"/>
    <w:rsid w:val="00627A83"/>
    <w:rsid w:val="00630001"/>
    <w:rsid w:val="00630DE4"/>
    <w:rsid w:val="006311B3"/>
    <w:rsid w:val="0063284C"/>
    <w:rsid w:val="00636398"/>
    <w:rsid w:val="006368D3"/>
    <w:rsid w:val="006377EC"/>
    <w:rsid w:val="0064151F"/>
    <w:rsid w:val="00641533"/>
    <w:rsid w:val="0064208D"/>
    <w:rsid w:val="00643475"/>
    <w:rsid w:val="0064396A"/>
    <w:rsid w:val="00645AF8"/>
    <w:rsid w:val="0064624E"/>
    <w:rsid w:val="00650AB9"/>
    <w:rsid w:val="006534F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2C"/>
    <w:rsid w:val="006771F9"/>
    <w:rsid w:val="006776D7"/>
    <w:rsid w:val="00681003"/>
    <w:rsid w:val="006817C9"/>
    <w:rsid w:val="00683ECE"/>
    <w:rsid w:val="00694F78"/>
    <w:rsid w:val="00695FC2"/>
    <w:rsid w:val="00696949"/>
    <w:rsid w:val="00697052"/>
    <w:rsid w:val="006A18C4"/>
    <w:rsid w:val="006A46FB"/>
    <w:rsid w:val="006A5744"/>
    <w:rsid w:val="006A5E28"/>
    <w:rsid w:val="006A5FC1"/>
    <w:rsid w:val="006A697B"/>
    <w:rsid w:val="006A6B1A"/>
    <w:rsid w:val="006A7AFF"/>
    <w:rsid w:val="006B1816"/>
    <w:rsid w:val="006B2099"/>
    <w:rsid w:val="006B280D"/>
    <w:rsid w:val="006B50CF"/>
    <w:rsid w:val="006B5887"/>
    <w:rsid w:val="006B5F98"/>
    <w:rsid w:val="006B6A31"/>
    <w:rsid w:val="006C03B8"/>
    <w:rsid w:val="006C3C3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034"/>
    <w:rsid w:val="006F341D"/>
    <w:rsid w:val="006F3CDE"/>
    <w:rsid w:val="006F58D4"/>
    <w:rsid w:val="006F6582"/>
    <w:rsid w:val="006F79B3"/>
    <w:rsid w:val="00702913"/>
    <w:rsid w:val="0070346E"/>
    <w:rsid w:val="00704542"/>
    <w:rsid w:val="00704EDB"/>
    <w:rsid w:val="00706101"/>
    <w:rsid w:val="00707072"/>
    <w:rsid w:val="00707D61"/>
    <w:rsid w:val="0071025B"/>
    <w:rsid w:val="00712198"/>
    <w:rsid w:val="00712287"/>
    <w:rsid w:val="00712772"/>
    <w:rsid w:val="007148D3"/>
    <w:rsid w:val="00715B9A"/>
    <w:rsid w:val="00720A18"/>
    <w:rsid w:val="007223BF"/>
    <w:rsid w:val="007257D0"/>
    <w:rsid w:val="00726EA6"/>
    <w:rsid w:val="00727208"/>
    <w:rsid w:val="00727680"/>
    <w:rsid w:val="00732B7B"/>
    <w:rsid w:val="007348B1"/>
    <w:rsid w:val="007362A6"/>
    <w:rsid w:val="00736D7D"/>
    <w:rsid w:val="00740E58"/>
    <w:rsid w:val="007445A0"/>
    <w:rsid w:val="0074524B"/>
    <w:rsid w:val="00747D8B"/>
    <w:rsid w:val="00751228"/>
    <w:rsid w:val="00753B29"/>
    <w:rsid w:val="007558BC"/>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3E21"/>
    <w:rsid w:val="00785490"/>
    <w:rsid w:val="007925EA"/>
    <w:rsid w:val="00793CD8"/>
    <w:rsid w:val="00795A1C"/>
    <w:rsid w:val="00795C92"/>
    <w:rsid w:val="00796231"/>
    <w:rsid w:val="0079799C"/>
    <w:rsid w:val="007A1CB3"/>
    <w:rsid w:val="007A306F"/>
    <w:rsid w:val="007A3648"/>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153"/>
    <w:rsid w:val="007E7091"/>
    <w:rsid w:val="00803FAE"/>
    <w:rsid w:val="0080605F"/>
    <w:rsid w:val="00807786"/>
    <w:rsid w:val="00811FCB"/>
    <w:rsid w:val="008129EB"/>
    <w:rsid w:val="008158D6"/>
    <w:rsid w:val="00817196"/>
    <w:rsid w:val="008235DB"/>
    <w:rsid w:val="00823EC1"/>
    <w:rsid w:val="00824AB4"/>
    <w:rsid w:val="00825C42"/>
    <w:rsid w:val="00825D25"/>
    <w:rsid w:val="00827D6F"/>
    <w:rsid w:val="00830FA7"/>
    <w:rsid w:val="0083493C"/>
    <w:rsid w:val="008376AC"/>
    <w:rsid w:val="008444E8"/>
    <w:rsid w:val="00844E80"/>
    <w:rsid w:val="00846BE6"/>
    <w:rsid w:val="00846FE7"/>
    <w:rsid w:val="00855C21"/>
    <w:rsid w:val="00856911"/>
    <w:rsid w:val="00863C42"/>
    <w:rsid w:val="008643EA"/>
    <w:rsid w:val="008677FD"/>
    <w:rsid w:val="008706D4"/>
    <w:rsid w:val="00870F8A"/>
    <w:rsid w:val="008719A4"/>
    <w:rsid w:val="00871D23"/>
    <w:rsid w:val="00874312"/>
    <w:rsid w:val="0087437C"/>
    <w:rsid w:val="00875CD7"/>
    <w:rsid w:val="00876B4D"/>
    <w:rsid w:val="00877F18"/>
    <w:rsid w:val="008809D2"/>
    <w:rsid w:val="0089159B"/>
    <w:rsid w:val="008941E3"/>
    <w:rsid w:val="00894A88"/>
    <w:rsid w:val="00895386"/>
    <w:rsid w:val="008975E1"/>
    <w:rsid w:val="008A21FF"/>
    <w:rsid w:val="008A2CE2"/>
    <w:rsid w:val="008A30AC"/>
    <w:rsid w:val="008A4466"/>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748B"/>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162"/>
    <w:rsid w:val="00922010"/>
    <w:rsid w:val="00922462"/>
    <w:rsid w:val="00924B33"/>
    <w:rsid w:val="00931BD9"/>
    <w:rsid w:val="009368F3"/>
    <w:rsid w:val="00937B32"/>
    <w:rsid w:val="00941636"/>
    <w:rsid w:val="00943742"/>
    <w:rsid w:val="00945C05"/>
    <w:rsid w:val="00945F26"/>
    <w:rsid w:val="00946945"/>
    <w:rsid w:val="00947713"/>
    <w:rsid w:val="00950DE7"/>
    <w:rsid w:val="00952423"/>
    <w:rsid w:val="00953920"/>
    <w:rsid w:val="00953D47"/>
    <w:rsid w:val="0095681E"/>
    <w:rsid w:val="009572D4"/>
    <w:rsid w:val="00960CD9"/>
    <w:rsid w:val="00961921"/>
    <w:rsid w:val="0096430A"/>
    <w:rsid w:val="0096554B"/>
    <w:rsid w:val="0096584A"/>
    <w:rsid w:val="0097014A"/>
    <w:rsid w:val="00971F08"/>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3BB6"/>
    <w:rsid w:val="009A462D"/>
    <w:rsid w:val="009A5CBA"/>
    <w:rsid w:val="009A6635"/>
    <w:rsid w:val="009A7842"/>
    <w:rsid w:val="009B1F30"/>
    <w:rsid w:val="009B2137"/>
    <w:rsid w:val="009B3AC2"/>
    <w:rsid w:val="009B4DF4"/>
    <w:rsid w:val="009B564E"/>
    <w:rsid w:val="009B5C28"/>
    <w:rsid w:val="009B7473"/>
    <w:rsid w:val="009B7E87"/>
    <w:rsid w:val="009C0169"/>
    <w:rsid w:val="009C403E"/>
    <w:rsid w:val="009C701A"/>
    <w:rsid w:val="009D4F2B"/>
    <w:rsid w:val="009D4FF0"/>
    <w:rsid w:val="009D703C"/>
    <w:rsid w:val="009D718F"/>
    <w:rsid w:val="009E068F"/>
    <w:rsid w:val="009E14E0"/>
    <w:rsid w:val="009E35DB"/>
    <w:rsid w:val="009E47A3"/>
    <w:rsid w:val="009F08F3"/>
    <w:rsid w:val="009F344F"/>
    <w:rsid w:val="009F4AF8"/>
    <w:rsid w:val="00A02C98"/>
    <w:rsid w:val="00A03143"/>
    <w:rsid w:val="00A031D8"/>
    <w:rsid w:val="00A036E2"/>
    <w:rsid w:val="00A048A8"/>
    <w:rsid w:val="00A04F49"/>
    <w:rsid w:val="00A1362C"/>
    <w:rsid w:val="00A13E54"/>
    <w:rsid w:val="00A15140"/>
    <w:rsid w:val="00A17F63"/>
    <w:rsid w:val="00A2193B"/>
    <w:rsid w:val="00A2351A"/>
    <w:rsid w:val="00A264A9"/>
    <w:rsid w:val="00A26DCF"/>
    <w:rsid w:val="00A27785"/>
    <w:rsid w:val="00A30187"/>
    <w:rsid w:val="00A3448A"/>
    <w:rsid w:val="00A36297"/>
    <w:rsid w:val="00A41E2B"/>
    <w:rsid w:val="00A45B74"/>
    <w:rsid w:val="00A52E1D"/>
    <w:rsid w:val="00A573F6"/>
    <w:rsid w:val="00A609FB"/>
    <w:rsid w:val="00A61499"/>
    <w:rsid w:val="00A62A77"/>
    <w:rsid w:val="00A63483"/>
    <w:rsid w:val="00A657D7"/>
    <w:rsid w:val="00A65D86"/>
    <w:rsid w:val="00A660AC"/>
    <w:rsid w:val="00A67E6C"/>
    <w:rsid w:val="00A71B99"/>
    <w:rsid w:val="00A739D0"/>
    <w:rsid w:val="00A761D4"/>
    <w:rsid w:val="00A77EC4"/>
    <w:rsid w:val="00A851E6"/>
    <w:rsid w:val="00A8792A"/>
    <w:rsid w:val="00A90C27"/>
    <w:rsid w:val="00A92879"/>
    <w:rsid w:val="00A9442A"/>
    <w:rsid w:val="00AA016F"/>
    <w:rsid w:val="00AA1ED6"/>
    <w:rsid w:val="00AA51D6"/>
    <w:rsid w:val="00AA590D"/>
    <w:rsid w:val="00AB0BC8"/>
    <w:rsid w:val="00AB11CA"/>
    <w:rsid w:val="00AB14D9"/>
    <w:rsid w:val="00AB2721"/>
    <w:rsid w:val="00AB4AB8"/>
    <w:rsid w:val="00AB557F"/>
    <w:rsid w:val="00AB5E42"/>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10BD"/>
    <w:rsid w:val="00B02AA9"/>
    <w:rsid w:val="00B02FA3"/>
    <w:rsid w:val="00B05084"/>
    <w:rsid w:val="00B157F9"/>
    <w:rsid w:val="00B17665"/>
    <w:rsid w:val="00B20256"/>
    <w:rsid w:val="00B20D09"/>
    <w:rsid w:val="00B228AE"/>
    <w:rsid w:val="00B2763F"/>
    <w:rsid w:val="00B27AAC"/>
    <w:rsid w:val="00B30929"/>
    <w:rsid w:val="00B35037"/>
    <w:rsid w:val="00B35BF4"/>
    <w:rsid w:val="00B372AA"/>
    <w:rsid w:val="00B40445"/>
    <w:rsid w:val="00B409E0"/>
    <w:rsid w:val="00B41888"/>
    <w:rsid w:val="00B422A9"/>
    <w:rsid w:val="00B44DBD"/>
    <w:rsid w:val="00B45A52"/>
    <w:rsid w:val="00B46175"/>
    <w:rsid w:val="00B50051"/>
    <w:rsid w:val="00B5116B"/>
    <w:rsid w:val="00B548B7"/>
    <w:rsid w:val="00B55E00"/>
    <w:rsid w:val="00B664C7"/>
    <w:rsid w:val="00B739F6"/>
    <w:rsid w:val="00B75E29"/>
    <w:rsid w:val="00B81A6C"/>
    <w:rsid w:val="00B85DE5"/>
    <w:rsid w:val="00B90F73"/>
    <w:rsid w:val="00B92390"/>
    <w:rsid w:val="00B93B59"/>
    <w:rsid w:val="00B9406A"/>
    <w:rsid w:val="00BA2280"/>
    <w:rsid w:val="00BA2A08"/>
    <w:rsid w:val="00BA56D2"/>
    <w:rsid w:val="00BA76E0"/>
    <w:rsid w:val="00BB2A25"/>
    <w:rsid w:val="00BB3AE4"/>
    <w:rsid w:val="00BB51E9"/>
    <w:rsid w:val="00BC0FDC"/>
    <w:rsid w:val="00BC3053"/>
    <w:rsid w:val="00BC3255"/>
    <w:rsid w:val="00BC4D2E"/>
    <w:rsid w:val="00BC7542"/>
    <w:rsid w:val="00BC7A46"/>
    <w:rsid w:val="00BD18B6"/>
    <w:rsid w:val="00BD48AC"/>
    <w:rsid w:val="00BD5F1A"/>
    <w:rsid w:val="00BE0960"/>
    <w:rsid w:val="00BE1234"/>
    <w:rsid w:val="00BE2FA6"/>
    <w:rsid w:val="00BE333F"/>
    <w:rsid w:val="00BE3A01"/>
    <w:rsid w:val="00BE7406"/>
    <w:rsid w:val="00BE7603"/>
    <w:rsid w:val="00BF3279"/>
    <w:rsid w:val="00BF74C7"/>
    <w:rsid w:val="00C015F1"/>
    <w:rsid w:val="00C016AA"/>
    <w:rsid w:val="00C01F33"/>
    <w:rsid w:val="00C02CC6"/>
    <w:rsid w:val="00C030EE"/>
    <w:rsid w:val="00C040F7"/>
    <w:rsid w:val="00C044AB"/>
    <w:rsid w:val="00C05706"/>
    <w:rsid w:val="00C07377"/>
    <w:rsid w:val="00C10478"/>
    <w:rsid w:val="00C12107"/>
    <w:rsid w:val="00C14D4B"/>
    <w:rsid w:val="00C154BB"/>
    <w:rsid w:val="00C22126"/>
    <w:rsid w:val="00C268E6"/>
    <w:rsid w:val="00C279B5"/>
    <w:rsid w:val="00C27C45"/>
    <w:rsid w:val="00C30C4F"/>
    <w:rsid w:val="00C3719D"/>
    <w:rsid w:val="00C37CB2"/>
    <w:rsid w:val="00C473A5"/>
    <w:rsid w:val="00C54995"/>
    <w:rsid w:val="00C54D41"/>
    <w:rsid w:val="00C60783"/>
    <w:rsid w:val="00C63C5E"/>
    <w:rsid w:val="00C64672"/>
    <w:rsid w:val="00C66CCB"/>
    <w:rsid w:val="00C67367"/>
    <w:rsid w:val="00C70697"/>
    <w:rsid w:val="00C72093"/>
    <w:rsid w:val="00C72EF4"/>
    <w:rsid w:val="00C744FE"/>
    <w:rsid w:val="00C75D2F"/>
    <w:rsid w:val="00C767BE"/>
    <w:rsid w:val="00C76E3C"/>
    <w:rsid w:val="00C81568"/>
    <w:rsid w:val="00C876CC"/>
    <w:rsid w:val="00C9027A"/>
    <w:rsid w:val="00C9068E"/>
    <w:rsid w:val="00C93814"/>
    <w:rsid w:val="00C93C4B"/>
    <w:rsid w:val="00C944AB"/>
    <w:rsid w:val="00C95B40"/>
    <w:rsid w:val="00CA1ED8"/>
    <w:rsid w:val="00CB1F63"/>
    <w:rsid w:val="00CB7170"/>
    <w:rsid w:val="00CC040E"/>
    <w:rsid w:val="00CC111F"/>
    <w:rsid w:val="00CC2011"/>
    <w:rsid w:val="00CC38E8"/>
    <w:rsid w:val="00CC3EA0"/>
    <w:rsid w:val="00CC4103"/>
    <w:rsid w:val="00CC4FCA"/>
    <w:rsid w:val="00CC525B"/>
    <w:rsid w:val="00CC6D8A"/>
    <w:rsid w:val="00CC7B45"/>
    <w:rsid w:val="00CD1096"/>
    <w:rsid w:val="00CD1188"/>
    <w:rsid w:val="00CD2ED1"/>
    <w:rsid w:val="00CD337B"/>
    <w:rsid w:val="00CD7E19"/>
    <w:rsid w:val="00CE0424"/>
    <w:rsid w:val="00CE706A"/>
    <w:rsid w:val="00CE7561"/>
    <w:rsid w:val="00CF1354"/>
    <w:rsid w:val="00CF1EAE"/>
    <w:rsid w:val="00CF3B1F"/>
    <w:rsid w:val="00CF3BF6"/>
    <w:rsid w:val="00CF625B"/>
    <w:rsid w:val="00CF687E"/>
    <w:rsid w:val="00CF6D96"/>
    <w:rsid w:val="00D0349B"/>
    <w:rsid w:val="00D0387B"/>
    <w:rsid w:val="00D10249"/>
    <w:rsid w:val="00D115C3"/>
    <w:rsid w:val="00D11897"/>
    <w:rsid w:val="00D12E35"/>
    <w:rsid w:val="00D13135"/>
    <w:rsid w:val="00D13E4E"/>
    <w:rsid w:val="00D22D4F"/>
    <w:rsid w:val="00D22D6A"/>
    <w:rsid w:val="00D239A7"/>
    <w:rsid w:val="00D23F47"/>
    <w:rsid w:val="00D36BB9"/>
    <w:rsid w:val="00D36E71"/>
    <w:rsid w:val="00D37D87"/>
    <w:rsid w:val="00D40B33"/>
    <w:rsid w:val="00D4318F"/>
    <w:rsid w:val="00D438BF"/>
    <w:rsid w:val="00D440F8"/>
    <w:rsid w:val="00D546FF"/>
    <w:rsid w:val="00D5576D"/>
    <w:rsid w:val="00D55AD5"/>
    <w:rsid w:val="00D576CA"/>
    <w:rsid w:val="00D57BFF"/>
    <w:rsid w:val="00D60AB7"/>
    <w:rsid w:val="00D61AF5"/>
    <w:rsid w:val="00D637ED"/>
    <w:rsid w:val="00D652B5"/>
    <w:rsid w:val="00D66155"/>
    <w:rsid w:val="00D708B0"/>
    <w:rsid w:val="00D70C61"/>
    <w:rsid w:val="00D730E9"/>
    <w:rsid w:val="00D775F1"/>
    <w:rsid w:val="00D77B1D"/>
    <w:rsid w:val="00D8021F"/>
    <w:rsid w:val="00D80383"/>
    <w:rsid w:val="00D823C6"/>
    <w:rsid w:val="00D8327F"/>
    <w:rsid w:val="00D86CA3"/>
    <w:rsid w:val="00D871CE"/>
    <w:rsid w:val="00D9123C"/>
    <w:rsid w:val="00D9196D"/>
    <w:rsid w:val="00D92982"/>
    <w:rsid w:val="00D93D77"/>
    <w:rsid w:val="00D95A57"/>
    <w:rsid w:val="00D961C6"/>
    <w:rsid w:val="00DA2581"/>
    <w:rsid w:val="00DA305E"/>
    <w:rsid w:val="00DA4F10"/>
    <w:rsid w:val="00DA5417"/>
    <w:rsid w:val="00DA56E8"/>
    <w:rsid w:val="00DB0A9F"/>
    <w:rsid w:val="00DB377D"/>
    <w:rsid w:val="00DC2D36"/>
    <w:rsid w:val="00DC322E"/>
    <w:rsid w:val="00DC53EF"/>
    <w:rsid w:val="00DC7187"/>
    <w:rsid w:val="00DE5608"/>
    <w:rsid w:val="00DE58D0"/>
    <w:rsid w:val="00DE654F"/>
    <w:rsid w:val="00DF0B6E"/>
    <w:rsid w:val="00DF15E0"/>
    <w:rsid w:val="00DF37A0"/>
    <w:rsid w:val="00DF4C23"/>
    <w:rsid w:val="00DF66E1"/>
    <w:rsid w:val="00E110E7"/>
    <w:rsid w:val="00E11B20"/>
    <w:rsid w:val="00E1412B"/>
    <w:rsid w:val="00E16231"/>
    <w:rsid w:val="00E17FA2"/>
    <w:rsid w:val="00E22330"/>
    <w:rsid w:val="00E307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980"/>
    <w:rsid w:val="00E72337"/>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EE5"/>
    <w:rsid w:val="00EB4EA2"/>
    <w:rsid w:val="00EC24D5"/>
    <w:rsid w:val="00EC27C6"/>
    <w:rsid w:val="00EC4207"/>
    <w:rsid w:val="00EC5653"/>
    <w:rsid w:val="00EC71CE"/>
    <w:rsid w:val="00ED1006"/>
    <w:rsid w:val="00EF18FE"/>
    <w:rsid w:val="00EF36A6"/>
    <w:rsid w:val="00EF5787"/>
    <w:rsid w:val="00EF60D0"/>
    <w:rsid w:val="00F01DF3"/>
    <w:rsid w:val="00F0528D"/>
    <w:rsid w:val="00F059F9"/>
    <w:rsid w:val="00F06C67"/>
    <w:rsid w:val="00F06DFD"/>
    <w:rsid w:val="00F071D1"/>
    <w:rsid w:val="00F07533"/>
    <w:rsid w:val="00F10629"/>
    <w:rsid w:val="00F15FA5"/>
    <w:rsid w:val="00F209B7"/>
    <w:rsid w:val="00F20F5C"/>
    <w:rsid w:val="00F2376F"/>
    <w:rsid w:val="00F243D8"/>
    <w:rsid w:val="00F26A50"/>
    <w:rsid w:val="00F30828"/>
    <w:rsid w:val="00F313D6"/>
    <w:rsid w:val="00F40F0C"/>
    <w:rsid w:val="00F41688"/>
    <w:rsid w:val="00F47429"/>
    <w:rsid w:val="00F4766C"/>
    <w:rsid w:val="00F47AE9"/>
    <w:rsid w:val="00F5060E"/>
    <w:rsid w:val="00F507D1"/>
    <w:rsid w:val="00F519CE"/>
    <w:rsid w:val="00F51ADA"/>
    <w:rsid w:val="00F55FC8"/>
    <w:rsid w:val="00F57C08"/>
    <w:rsid w:val="00F60203"/>
    <w:rsid w:val="00F607C5"/>
    <w:rsid w:val="00F60DEA"/>
    <w:rsid w:val="00F62F2B"/>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A30"/>
    <w:rsid w:val="00F868F5"/>
    <w:rsid w:val="00F904D2"/>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styleId="NormalWeb">
    <w:name w:val="Normal (Web)"/>
    <w:basedOn w:val="Normal"/>
    <w:uiPriority w:val="99"/>
    <w:unhideWhenUsed/>
    <w:rsid w:val="009B7473"/>
    <w:pPr>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table" w:styleId="TableTheme">
    <w:name w:val="Table Theme"/>
    <w:basedOn w:val="TableNormal"/>
    <w:rsid w:val="006F2034"/>
    <w:pPr>
      <w:autoSpaceDE w:val="0"/>
      <w:autoSpaceDN w:val="0"/>
      <w:adjustRightInd w:val="0"/>
      <w:snapToGrid w:val="0"/>
      <w:spacing w:after="120"/>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 Bullets Car,?? ?? Car,????? Car,???? Car,Lista1 Car,列出段落1 Car,中等深浅网格 1 - 着色 21 Car,¥ê¥¹¥È¶ÎÂä Car,¥¡¡¡¡ì¬º¥¹¥È¶ÎÂä Car,ÁÐ³ö¶ÎÂä Car,列表段落1 Car,—ño’i—Ž Car,1st level - Bullet List Paragraph Car,Lettre d'introduction Car,목록단락 Car"/>
    <w:basedOn w:val="DefaultParagraphFont"/>
    <w:uiPriority w:val="34"/>
    <w:locked/>
    <w:rsid w:val="00AB557F"/>
    <w:rPr>
      <w:rFonts w:ascii="MS Gothic" w:eastAsia="MS Gothic" w:hAnsi="MS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03786">
      <w:bodyDiv w:val="1"/>
      <w:marLeft w:val="0"/>
      <w:marRight w:val="0"/>
      <w:marTop w:val="0"/>
      <w:marBottom w:val="0"/>
      <w:divBdr>
        <w:top w:val="none" w:sz="0" w:space="0" w:color="auto"/>
        <w:left w:val="none" w:sz="0" w:space="0" w:color="auto"/>
        <w:bottom w:val="none" w:sz="0" w:space="0" w:color="auto"/>
        <w:right w:val="none" w:sz="0" w:space="0" w:color="auto"/>
      </w:divBdr>
    </w:div>
    <w:div w:id="20625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8AF4A5-608A-4D1A-B47D-459EE5C5B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6</Pages>
  <Words>2596</Words>
  <Characters>13994</Characters>
  <Application>Microsoft Office Word</Application>
  <DocSecurity>0</DocSecurity>
  <Lines>264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16471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Coverage Enh</dc:title>
  <dc:subject/>
  <dc:creator>Flavien Ronteix (Thales)</dc:creator>
  <cp:keywords>3GPP;Thales;RAN2</cp:keywords>
  <dc:description/>
  <cp:lastModifiedBy>Flavien Ronteix (Thales)</cp:lastModifiedBy>
  <cp:revision>2</cp:revision>
  <cp:lastPrinted>2008-01-31T07:09:00Z</cp:lastPrinted>
  <dcterms:created xsi:type="dcterms:W3CDTF">2024-11-08T09:24:00Z</dcterms:created>
  <dcterms:modified xsi:type="dcterms:W3CDTF">2024-11-08T09:24:00Z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